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11DDA" w:rsidTr="00560C98">
        <w:trPr>
          <w:jc w:val="center"/>
        </w:trPr>
        <w:tc>
          <w:tcPr>
            <w:tcW w:w="743" w:type="dxa"/>
          </w:tcPr>
          <w:p w:rsidR="00311DDA" w:rsidRDefault="00311DDA" w:rsidP="00560C98">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311DDA" w:rsidRDefault="00311DDA" w:rsidP="00560C98">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פליקס גורודצקי</w:t>
                </w:r>
              </w:sdtContent>
            </w:sdt>
          </w:p>
          <w:p w:rsidR="00311DDA" w:rsidRDefault="00311DDA" w:rsidP="00560C98">
            <w:pPr>
              <w:rPr>
                <w:rFonts w:ascii="Arial" w:hAnsi="Arial" w:cs="FrankRuehl"/>
                <w:sz w:val="28"/>
                <w:szCs w:val="28"/>
                <w:highlight w:val="yellow"/>
              </w:rPr>
            </w:pPr>
          </w:p>
        </w:tc>
      </w:tr>
      <w:tr w:rsidR="00311DDA" w:rsidTr="00560C98">
        <w:trPr>
          <w:jc w:val="center"/>
        </w:trPr>
        <w:tc>
          <w:tcPr>
            <w:tcW w:w="3249" w:type="dxa"/>
            <w:gridSpan w:val="2"/>
          </w:tcPr>
          <w:p w:rsidR="00311DDA" w:rsidRDefault="00311DDA" w:rsidP="00560C98">
            <w:pPr>
              <w:bidi w:val="0"/>
              <w:jc w:val="right"/>
              <w:rPr>
                <w:rFonts w:ascii="Arial" w:hAnsi="Arial"/>
                <w:b/>
                <w:bCs/>
                <w:noProof w:val="0"/>
                <w:sz w:val="26"/>
                <w:szCs w:val="26"/>
              </w:rPr>
            </w:pPr>
          </w:p>
          <w:sdt>
            <w:sdtPr>
              <w:alias w:val="1180"/>
              <w:tag w:val="1180"/>
              <w:id w:val="-1016538661"/>
              <w:text w:multiLine="1"/>
            </w:sdtPr>
            <w:sdtEndPr/>
            <w:sdtContent>
              <w:p w:rsidR="00311DDA" w:rsidRDefault="00311DDA" w:rsidP="00560C98">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311DDA" w:rsidRDefault="00311DDA" w:rsidP="00560C98">
            <w:pPr>
              <w:rPr>
                <w:rFonts w:ascii="Arial" w:hAnsi="Arial"/>
                <w:b/>
                <w:bCs/>
                <w:noProof w:val="0"/>
                <w:sz w:val="26"/>
                <w:szCs w:val="26"/>
              </w:rPr>
            </w:pPr>
          </w:p>
          <w:p w:rsidR="00311DDA" w:rsidRDefault="008F2914" w:rsidP="00BD0303">
            <w:pPr>
              <w:rPr>
                <w:b/>
                <w:bCs/>
                <w:noProof w:val="0"/>
                <w:sz w:val="26"/>
                <w:szCs w:val="26"/>
              </w:rPr>
            </w:pPr>
            <w:sdt>
              <w:sdtPr>
                <w:rPr>
                  <w:rtl/>
                </w:rPr>
                <w:alias w:val="1478"/>
                <w:tag w:val="1478"/>
                <w:id w:val="-893967435"/>
                <w:text w:multiLine="1"/>
              </w:sdtPr>
              <w:sdtEndPr/>
              <w:sdtContent>
                <w:r w:rsidR="00BD0303">
                  <w:rPr>
                    <w:rFonts w:ascii="Arial" w:hAnsi="Arial" w:hint="cs"/>
                    <w:b/>
                    <w:bCs/>
                    <w:noProof w:val="0"/>
                    <w:sz w:val="26"/>
                    <w:szCs w:val="26"/>
                    <w:rtl/>
                  </w:rPr>
                  <w:t xml:space="preserve">פלוני </w:t>
                </w:r>
              </w:sdtContent>
            </w:sdt>
            <w:r w:rsidR="00311DDA">
              <w:rPr>
                <w:rFonts w:ascii="Arial" w:hAnsi="Arial" w:hint="cs"/>
                <w:b/>
                <w:bCs/>
                <w:noProof w:val="0"/>
                <w:sz w:val="26"/>
                <w:szCs w:val="26"/>
                <w:rtl/>
              </w:rPr>
              <w:t xml:space="preserve">  </w:t>
            </w:r>
            <w:sdt>
              <w:sdtPr>
                <w:rPr>
                  <w:rtl/>
                </w:rPr>
                <w:alias w:val="2316"/>
                <w:tag w:val="2316"/>
                <w:id w:val="1719778497"/>
                <w:text w:multiLine="1"/>
              </w:sdtPr>
              <w:sdtEndPr/>
              <w:sdtContent>
                <w:r w:rsidR="00311DDA">
                  <w:rPr>
                    <w:rFonts w:ascii="Arial" w:hAnsi="Arial"/>
                    <w:b/>
                    <w:bCs/>
                    <w:noProof w:val="0"/>
                    <w:sz w:val="26"/>
                    <w:szCs w:val="26"/>
                    <w:rtl/>
                  </w:rPr>
                  <w:br/>
                </w:r>
                <w:r w:rsidR="00311DDA">
                  <w:rPr>
                    <w:rFonts w:hint="cs"/>
                    <w:rtl/>
                  </w:rPr>
                  <w:t>באמצעות ב"כ עוה"ד סימה א. ברוכים</w:t>
                </w:r>
              </w:sdtContent>
            </w:sdt>
          </w:p>
        </w:tc>
      </w:tr>
      <w:tr w:rsidR="00311DDA" w:rsidTr="00560C98">
        <w:trPr>
          <w:jc w:val="center"/>
        </w:trPr>
        <w:tc>
          <w:tcPr>
            <w:tcW w:w="8820" w:type="dxa"/>
            <w:gridSpan w:val="3"/>
          </w:tcPr>
          <w:p w:rsidR="00311DDA" w:rsidRDefault="00311DDA" w:rsidP="00560C98">
            <w:pPr>
              <w:rPr>
                <w:rFonts w:ascii="Arial" w:hAnsi="Arial"/>
                <w:b/>
                <w:bCs/>
                <w:noProof w:val="0"/>
                <w:sz w:val="26"/>
                <w:szCs w:val="26"/>
                <w:rtl/>
              </w:rPr>
            </w:pPr>
          </w:p>
          <w:p w:rsidR="00311DDA" w:rsidRDefault="00311DDA" w:rsidP="00560C98">
            <w:pPr>
              <w:jc w:val="center"/>
              <w:rPr>
                <w:rFonts w:ascii="Arial" w:hAnsi="Arial"/>
                <w:b/>
                <w:bCs/>
                <w:noProof w:val="0"/>
                <w:sz w:val="26"/>
                <w:szCs w:val="26"/>
                <w:rtl/>
              </w:rPr>
            </w:pPr>
            <w:r>
              <w:rPr>
                <w:rFonts w:ascii="Arial" w:hAnsi="Arial"/>
                <w:b/>
                <w:bCs/>
                <w:noProof w:val="0"/>
                <w:sz w:val="26"/>
                <w:szCs w:val="26"/>
                <w:rtl/>
              </w:rPr>
              <w:t>נגד</w:t>
            </w:r>
          </w:p>
          <w:p w:rsidR="00311DDA" w:rsidRDefault="00311DDA" w:rsidP="00560C98">
            <w:pPr>
              <w:rPr>
                <w:rFonts w:ascii="Arial" w:hAnsi="Arial"/>
                <w:b/>
                <w:bCs/>
                <w:noProof w:val="0"/>
                <w:sz w:val="26"/>
                <w:szCs w:val="26"/>
              </w:rPr>
            </w:pPr>
          </w:p>
        </w:tc>
      </w:tr>
      <w:tr w:rsidR="00311DDA" w:rsidTr="00560C98">
        <w:trPr>
          <w:jc w:val="center"/>
        </w:trPr>
        <w:tc>
          <w:tcPr>
            <w:tcW w:w="3249" w:type="dxa"/>
            <w:gridSpan w:val="2"/>
          </w:tcPr>
          <w:p w:rsidR="00311DDA" w:rsidRDefault="00311DDA" w:rsidP="00560C98">
            <w:pPr>
              <w:rPr>
                <w:rFonts w:ascii="Arial" w:hAnsi="Arial"/>
                <w:b/>
                <w:bCs/>
                <w:noProof w:val="0"/>
                <w:sz w:val="26"/>
                <w:szCs w:val="26"/>
                <w:rtl/>
              </w:rPr>
            </w:pPr>
          </w:p>
          <w:p w:rsidR="00311DDA" w:rsidRDefault="008F2914" w:rsidP="00560C98">
            <w:pPr>
              <w:rPr>
                <w:rFonts w:ascii="Arial" w:hAnsi="Arial"/>
                <w:b/>
                <w:bCs/>
                <w:noProof w:val="0"/>
                <w:sz w:val="26"/>
                <w:szCs w:val="26"/>
              </w:rPr>
            </w:pPr>
            <w:sdt>
              <w:sdtPr>
                <w:rPr>
                  <w:rtl/>
                </w:rPr>
                <w:alias w:val="1184"/>
                <w:tag w:val="1184"/>
                <w:id w:val="-35981914"/>
                <w:text w:multiLine="1"/>
              </w:sdtPr>
              <w:sdtEndPr/>
              <w:sdtContent>
                <w:r w:rsidR="00311DDA">
                  <w:rPr>
                    <w:rFonts w:ascii="Arial" w:hAnsi="Arial"/>
                    <w:b/>
                    <w:bCs/>
                    <w:noProof w:val="0"/>
                    <w:sz w:val="26"/>
                    <w:szCs w:val="26"/>
                    <w:rtl/>
                  </w:rPr>
                  <w:t>נתבע</w:t>
                </w:r>
                <w:r w:rsidR="00311DDA">
                  <w:rPr>
                    <w:rFonts w:ascii="Arial" w:hAnsi="Arial" w:hint="cs"/>
                    <w:b/>
                    <w:bCs/>
                    <w:noProof w:val="0"/>
                    <w:sz w:val="26"/>
                    <w:szCs w:val="26"/>
                    <w:rtl/>
                  </w:rPr>
                  <w:t>ת</w:t>
                </w:r>
              </w:sdtContent>
            </w:sdt>
          </w:p>
        </w:tc>
        <w:tc>
          <w:tcPr>
            <w:tcW w:w="5571" w:type="dxa"/>
          </w:tcPr>
          <w:p w:rsidR="00311DDA" w:rsidRDefault="00311DDA" w:rsidP="00560C98">
            <w:pPr>
              <w:rPr>
                <w:rFonts w:ascii="Arial" w:hAnsi="Arial"/>
                <w:b/>
                <w:bCs/>
                <w:noProof w:val="0"/>
                <w:sz w:val="26"/>
                <w:szCs w:val="26"/>
                <w:rtl/>
              </w:rPr>
            </w:pPr>
          </w:p>
          <w:p w:rsidR="00311DDA" w:rsidRDefault="008F2914" w:rsidP="00BD0303">
            <w:pPr>
              <w:rPr>
                <w:rtl/>
              </w:rPr>
            </w:pPr>
            <w:sdt>
              <w:sdtPr>
                <w:rPr>
                  <w:rtl/>
                </w:rPr>
                <w:alias w:val="1486"/>
                <w:tag w:val="1486"/>
                <w:id w:val="-734459171"/>
                <w:text w:multiLine="1"/>
              </w:sdtPr>
              <w:sdtEndPr/>
              <w:sdtContent>
                <w:r w:rsidR="00BD0303">
                  <w:rPr>
                    <w:rFonts w:ascii="Arial" w:hAnsi="Arial" w:hint="cs"/>
                    <w:b/>
                    <w:bCs/>
                    <w:noProof w:val="0"/>
                    <w:sz w:val="26"/>
                    <w:szCs w:val="26"/>
                    <w:rtl/>
                  </w:rPr>
                  <w:t xml:space="preserve">פלונית </w:t>
                </w:r>
              </w:sdtContent>
            </w:sdt>
            <w:r w:rsidR="00311DDA">
              <w:rPr>
                <w:rFonts w:ascii="Arial" w:hAnsi="Arial" w:hint="cs"/>
                <w:b/>
                <w:bCs/>
                <w:noProof w:val="0"/>
                <w:sz w:val="26"/>
                <w:szCs w:val="26"/>
                <w:rtl/>
              </w:rPr>
              <w:t xml:space="preserve"> </w:t>
            </w:r>
          </w:p>
          <w:p w:rsidR="00311DDA" w:rsidRPr="007A4354" w:rsidRDefault="00311DDA" w:rsidP="00560C98">
            <w:pPr>
              <w:rPr>
                <w:noProof w:val="0"/>
                <w:rtl/>
              </w:rPr>
            </w:pPr>
            <w:r w:rsidRPr="007A4354">
              <w:rPr>
                <w:rFonts w:hint="cs"/>
                <w:noProof w:val="0"/>
                <w:rtl/>
              </w:rPr>
              <w:t>באמצעות עוה"ד אשר קדוש ואח'</w:t>
            </w:r>
          </w:p>
        </w:tc>
      </w:tr>
      <w:tr w:rsidR="00311DDA" w:rsidTr="00560C98">
        <w:trPr>
          <w:jc w:val="center"/>
        </w:trPr>
        <w:tc>
          <w:tcPr>
            <w:tcW w:w="8820" w:type="dxa"/>
            <w:gridSpan w:val="3"/>
          </w:tcPr>
          <w:p w:rsidR="00311DDA" w:rsidRDefault="00311DDA" w:rsidP="00560C98">
            <w:pPr>
              <w:rPr>
                <w:rFonts w:ascii="Arial" w:hAnsi="Arial"/>
                <w:b/>
                <w:bCs/>
                <w:noProof w:val="0"/>
                <w:sz w:val="26"/>
                <w:szCs w:val="26"/>
                <w:rtl/>
              </w:rPr>
            </w:pPr>
          </w:p>
        </w:tc>
      </w:tr>
      <w:tr w:rsidR="00311DDA" w:rsidRPr="007A4354" w:rsidTr="00560C98">
        <w:trPr>
          <w:jc w:val="center"/>
        </w:trPr>
        <w:tc>
          <w:tcPr>
            <w:tcW w:w="8820" w:type="dxa"/>
            <w:gridSpan w:val="3"/>
          </w:tcPr>
          <w:p w:rsidR="00311DDA" w:rsidRPr="007A4354" w:rsidRDefault="00311DDA" w:rsidP="00560C98">
            <w:pPr>
              <w:bidi w:val="0"/>
              <w:jc w:val="center"/>
              <w:rPr>
                <w:rFonts w:ascii="Arial" w:hAnsi="Arial"/>
                <w:b/>
                <w:bCs/>
                <w:i/>
                <w:iCs/>
                <w:noProof w:val="0"/>
                <w:sz w:val="36"/>
                <w:szCs w:val="36"/>
                <w:u w:val="single"/>
              </w:rPr>
            </w:pPr>
          </w:p>
          <w:p w:rsidR="00311DDA" w:rsidRDefault="00165CC6" w:rsidP="00165CC6">
            <w:pPr>
              <w:bidi w:val="0"/>
              <w:jc w:val="center"/>
              <w:rPr>
                <w:rFonts w:ascii="Arial" w:hAnsi="Arial"/>
                <w:b/>
                <w:bCs/>
                <w:i/>
                <w:iCs/>
                <w:noProof w:val="0"/>
                <w:sz w:val="36"/>
                <w:szCs w:val="36"/>
                <w:u w:val="single"/>
                <w:rtl/>
              </w:rPr>
            </w:pPr>
            <w:r>
              <w:rPr>
                <w:rFonts w:ascii="Arial" w:hAnsi="Arial"/>
                <w:b/>
                <w:bCs/>
                <w:i/>
                <w:iCs/>
                <w:noProof w:val="0"/>
                <w:sz w:val="36"/>
                <w:szCs w:val="36"/>
                <w:u w:val="single"/>
                <w:rtl/>
              </w:rPr>
              <w:t>פסק ד</w:t>
            </w:r>
            <w:r>
              <w:rPr>
                <w:rFonts w:ascii="Arial" w:hAnsi="Arial" w:hint="cs"/>
                <w:b/>
                <w:bCs/>
                <w:i/>
                <w:iCs/>
                <w:noProof w:val="0"/>
                <w:sz w:val="36"/>
                <w:szCs w:val="36"/>
                <w:u w:val="single"/>
                <w:rtl/>
              </w:rPr>
              <w:t>ין</w:t>
            </w:r>
          </w:p>
          <w:p w:rsidR="00165CC6" w:rsidRPr="007A4354" w:rsidRDefault="00165CC6" w:rsidP="00165CC6">
            <w:pPr>
              <w:bidi w:val="0"/>
              <w:jc w:val="center"/>
              <w:rPr>
                <w:rFonts w:ascii="Arial" w:hAnsi="Arial"/>
                <w:b/>
                <w:bCs/>
                <w:i/>
                <w:iCs/>
                <w:noProof w:val="0"/>
                <w:sz w:val="36"/>
                <w:szCs w:val="36"/>
                <w:u w:val="single"/>
              </w:rPr>
            </w:pPr>
          </w:p>
        </w:tc>
      </w:tr>
    </w:tbl>
    <w:p w:rsidR="00311DDA" w:rsidRDefault="00311DDA" w:rsidP="003403EE">
      <w:pPr>
        <w:spacing w:line="360" w:lineRule="auto"/>
        <w:jc w:val="both"/>
        <w:rPr>
          <w:rFonts w:ascii="David" w:hAnsi="David"/>
          <w:noProof w:val="0"/>
          <w:rtl/>
        </w:rPr>
      </w:pPr>
      <w:r>
        <w:rPr>
          <w:rFonts w:ascii="David" w:hAnsi="David"/>
          <w:rtl/>
        </w:rPr>
        <w:t xml:space="preserve">לפניי שני הליכים משפטיים העוסקים בעיזבון המנוחה </w:t>
      </w:r>
      <w:r w:rsidR="003403EE">
        <w:rPr>
          <w:rFonts w:ascii="David" w:hAnsi="David" w:hint="cs"/>
          <w:rtl/>
        </w:rPr>
        <w:t xml:space="preserve">*** </w:t>
      </w:r>
      <w:r>
        <w:rPr>
          <w:rFonts w:ascii="David" w:hAnsi="David"/>
          <w:rtl/>
        </w:rPr>
        <w:t>ז"ל (להלן: "</w:t>
      </w:r>
      <w:r>
        <w:rPr>
          <w:rFonts w:ascii="David" w:hAnsi="David"/>
          <w:b/>
          <w:bCs/>
          <w:rtl/>
        </w:rPr>
        <w:t>המנוחה</w:t>
      </w:r>
      <w:r>
        <w:rPr>
          <w:rFonts w:ascii="David" w:hAnsi="David"/>
          <w:rtl/>
        </w:rPr>
        <w:t xml:space="preserve">") אשר נפטרה ביום </w:t>
      </w:r>
      <w:r w:rsidR="00BD0303">
        <w:rPr>
          <w:rFonts w:ascii="David" w:hAnsi="David" w:hint="cs"/>
          <w:rtl/>
        </w:rPr>
        <w:t>00</w:t>
      </w:r>
      <w:r>
        <w:rPr>
          <w:rFonts w:ascii="David" w:hAnsi="David"/>
          <w:rtl/>
        </w:rPr>
        <w:t>.</w:t>
      </w:r>
      <w:r w:rsidR="00BD0303">
        <w:rPr>
          <w:rFonts w:ascii="David" w:hAnsi="David" w:hint="cs"/>
          <w:rtl/>
        </w:rPr>
        <w:t>00</w:t>
      </w:r>
      <w:r>
        <w:rPr>
          <w:rFonts w:ascii="David" w:hAnsi="David"/>
          <w:rtl/>
        </w:rPr>
        <w:t>.2018:</w:t>
      </w:r>
    </w:p>
    <w:p w:rsidR="00311DDA" w:rsidRDefault="00311DDA" w:rsidP="00311DDA">
      <w:pPr>
        <w:spacing w:line="360" w:lineRule="auto"/>
        <w:jc w:val="both"/>
        <w:rPr>
          <w:rFonts w:ascii="David" w:hAnsi="David"/>
          <w:rtl/>
        </w:rPr>
      </w:pPr>
    </w:p>
    <w:p w:rsidR="00311DDA" w:rsidRDefault="00311DDA" w:rsidP="000664ED">
      <w:pPr>
        <w:spacing w:line="360" w:lineRule="auto"/>
        <w:jc w:val="both"/>
        <w:rPr>
          <w:rFonts w:ascii="David" w:hAnsi="David"/>
          <w:rtl/>
        </w:rPr>
      </w:pPr>
      <w:r>
        <w:rPr>
          <w:rFonts w:ascii="David" w:hAnsi="David"/>
          <w:u w:val="single"/>
          <w:rtl/>
        </w:rPr>
        <w:t>ת"ע 10231-02-22</w:t>
      </w:r>
      <w:r>
        <w:rPr>
          <w:rFonts w:ascii="David" w:hAnsi="David"/>
          <w:rtl/>
        </w:rPr>
        <w:t xml:space="preserve"> – שעניינו תביעה למתן תוקף לתצהיר הסתלקות מיום </w:t>
      </w:r>
      <w:r w:rsidR="000664ED">
        <w:rPr>
          <w:rFonts w:ascii="David" w:hAnsi="David" w:hint="cs"/>
          <w:rtl/>
        </w:rPr>
        <w:t>00</w:t>
      </w:r>
      <w:r>
        <w:rPr>
          <w:rFonts w:ascii="David" w:hAnsi="David"/>
          <w:rtl/>
        </w:rPr>
        <w:t>.</w:t>
      </w:r>
      <w:r w:rsidR="000664ED">
        <w:rPr>
          <w:rFonts w:ascii="David" w:hAnsi="David" w:hint="cs"/>
          <w:rtl/>
        </w:rPr>
        <w:t>00</w:t>
      </w:r>
      <w:r>
        <w:rPr>
          <w:rFonts w:ascii="David" w:hAnsi="David"/>
          <w:rtl/>
        </w:rPr>
        <w:t xml:space="preserve">.2019 (להלן: </w:t>
      </w:r>
      <w:r>
        <w:rPr>
          <w:rFonts w:ascii="David" w:hAnsi="David"/>
          <w:b/>
          <w:bCs/>
          <w:rtl/>
        </w:rPr>
        <w:t>"תצהיר ההסתלקות"</w:t>
      </w:r>
      <w:r>
        <w:rPr>
          <w:rFonts w:ascii="David" w:hAnsi="David"/>
          <w:rtl/>
        </w:rPr>
        <w:t xml:space="preserve">), אשר במסגרתו הסתלקה הנתבעת – אמה של המנוחה, </w:t>
      </w:r>
      <w:r w:rsidR="00014FB3">
        <w:rPr>
          <w:rFonts w:ascii="David" w:hAnsi="David" w:hint="cs"/>
          <w:rtl/>
        </w:rPr>
        <w:t>פלונית</w:t>
      </w:r>
      <w:r>
        <w:rPr>
          <w:rFonts w:ascii="David" w:hAnsi="David"/>
          <w:rtl/>
        </w:rPr>
        <w:t xml:space="preserve"> ז"ל (אשר נפטרה ביום </w:t>
      </w:r>
      <w:r w:rsidR="00014FB3">
        <w:rPr>
          <w:rFonts w:ascii="David" w:hAnsi="David" w:hint="cs"/>
          <w:rtl/>
        </w:rPr>
        <w:t>00</w:t>
      </w:r>
      <w:r>
        <w:rPr>
          <w:rFonts w:ascii="David" w:hAnsi="David"/>
          <w:rtl/>
        </w:rPr>
        <w:t>.</w:t>
      </w:r>
      <w:r w:rsidR="00014FB3">
        <w:rPr>
          <w:rFonts w:ascii="David" w:hAnsi="David" w:hint="cs"/>
          <w:rtl/>
        </w:rPr>
        <w:t>00</w:t>
      </w:r>
      <w:r>
        <w:rPr>
          <w:rFonts w:ascii="David" w:hAnsi="David"/>
          <w:rtl/>
        </w:rPr>
        <w:t xml:space="preserve">.2022, במהלך ניהול ההליכים) מחלקה בעיזבון המנוחה בשיעור של 15%, לטובת התובע –  </w:t>
      </w:r>
      <w:r w:rsidR="00014FB3">
        <w:rPr>
          <w:rFonts w:ascii="David" w:hAnsi="David" w:hint="cs"/>
          <w:rtl/>
        </w:rPr>
        <w:t>פלוני</w:t>
      </w:r>
      <w:r>
        <w:rPr>
          <w:rFonts w:ascii="David" w:hAnsi="David"/>
          <w:rtl/>
        </w:rPr>
        <w:t xml:space="preserve">, בן זוגה של המנוחה (להלן: </w:t>
      </w:r>
      <w:r>
        <w:rPr>
          <w:rFonts w:ascii="David" w:hAnsi="David"/>
          <w:b/>
          <w:bCs/>
          <w:rtl/>
        </w:rPr>
        <w:t>"התביעה בעניין תצהיר ההסתלקות"</w:t>
      </w:r>
      <w:r>
        <w:rPr>
          <w:rFonts w:ascii="David" w:hAnsi="David"/>
          <w:rtl/>
        </w:rPr>
        <w:t>).</w:t>
      </w:r>
    </w:p>
    <w:p w:rsidR="00311DDA" w:rsidRDefault="00311DDA" w:rsidP="00311DDA">
      <w:pPr>
        <w:spacing w:line="360" w:lineRule="auto"/>
        <w:jc w:val="both"/>
        <w:rPr>
          <w:rFonts w:ascii="David" w:hAnsi="David"/>
          <w:rtl/>
        </w:rPr>
      </w:pPr>
    </w:p>
    <w:p w:rsidR="00311DDA" w:rsidRDefault="00311DDA" w:rsidP="000664ED">
      <w:pPr>
        <w:spacing w:line="360" w:lineRule="auto"/>
        <w:jc w:val="both"/>
        <w:rPr>
          <w:rFonts w:ascii="David" w:hAnsi="David"/>
          <w:rtl/>
        </w:rPr>
      </w:pPr>
      <w:r>
        <w:rPr>
          <w:rFonts w:ascii="David" w:hAnsi="David"/>
          <w:u w:val="single"/>
          <w:rtl/>
        </w:rPr>
        <w:t>תה"ס 3833-06-22</w:t>
      </w:r>
      <w:r>
        <w:rPr>
          <w:rFonts w:ascii="David" w:hAnsi="David"/>
          <w:rtl/>
        </w:rPr>
        <w:t xml:space="preserve"> – שעניינו תביעה לאכיפת הסכם מיום </w:t>
      </w:r>
      <w:r w:rsidR="000664ED">
        <w:rPr>
          <w:rFonts w:ascii="David" w:hAnsi="David" w:hint="cs"/>
          <w:rtl/>
        </w:rPr>
        <w:t>00</w:t>
      </w:r>
      <w:r>
        <w:rPr>
          <w:rFonts w:ascii="David" w:hAnsi="David"/>
          <w:rtl/>
        </w:rPr>
        <w:t>.</w:t>
      </w:r>
      <w:r w:rsidR="000664ED">
        <w:rPr>
          <w:rFonts w:ascii="David" w:hAnsi="David" w:hint="cs"/>
          <w:rtl/>
        </w:rPr>
        <w:t>00</w:t>
      </w:r>
      <w:r>
        <w:rPr>
          <w:rFonts w:ascii="David" w:hAnsi="David"/>
          <w:rtl/>
        </w:rPr>
        <w:t xml:space="preserve">.2019 (להלן: </w:t>
      </w:r>
      <w:r>
        <w:rPr>
          <w:rFonts w:ascii="David" w:hAnsi="David"/>
          <w:b/>
          <w:bCs/>
          <w:rtl/>
        </w:rPr>
        <w:t>"ההסכם"</w:t>
      </w:r>
      <w:r>
        <w:rPr>
          <w:rFonts w:ascii="David" w:hAnsi="David"/>
          <w:rtl/>
        </w:rPr>
        <w:t xml:space="preserve">) שנערך בין התובע לנתבעת, במסגרתו נקבע, בין היתר, כי עיזבון המנוחה יחולק בין התובע לנתבעת (להלן: </w:t>
      </w:r>
      <w:r>
        <w:rPr>
          <w:rFonts w:ascii="David" w:hAnsi="David"/>
          <w:b/>
          <w:bCs/>
          <w:rtl/>
        </w:rPr>
        <w:t>"הצדדים"</w:t>
      </w:r>
      <w:r>
        <w:rPr>
          <w:rFonts w:ascii="David" w:hAnsi="David"/>
          <w:rtl/>
        </w:rPr>
        <w:t xml:space="preserve">) ביחס של 65% לטובת התובע ו-35% לטובת הנתבעת ולשם כך ייחתם תצהיר ההסתלקות (להלן: </w:t>
      </w:r>
      <w:r>
        <w:rPr>
          <w:rFonts w:ascii="David" w:hAnsi="David"/>
          <w:b/>
          <w:bCs/>
          <w:rtl/>
        </w:rPr>
        <w:t>"תביעה בעניין ההסכם"</w:t>
      </w:r>
      <w:r>
        <w:rPr>
          <w:rFonts w:ascii="David" w:hAnsi="David"/>
          <w:rtl/>
        </w:rPr>
        <w:t>).</w:t>
      </w:r>
    </w:p>
    <w:p w:rsidR="00311DDA" w:rsidRDefault="00311DDA" w:rsidP="00311DDA">
      <w:pPr>
        <w:spacing w:line="360" w:lineRule="auto"/>
        <w:jc w:val="both"/>
        <w:rPr>
          <w:rFonts w:ascii="David" w:hAnsi="David"/>
          <w:rtl/>
        </w:rPr>
      </w:pPr>
    </w:p>
    <w:p w:rsidR="00311DDA" w:rsidRDefault="00311DDA" w:rsidP="00311DDA">
      <w:pPr>
        <w:spacing w:line="360" w:lineRule="auto"/>
        <w:jc w:val="both"/>
        <w:rPr>
          <w:rFonts w:ascii="David" w:hAnsi="David"/>
          <w:b/>
          <w:bCs/>
          <w:u w:val="single"/>
          <w:rtl/>
        </w:rPr>
      </w:pPr>
      <w:r>
        <w:rPr>
          <w:rFonts w:ascii="David" w:hAnsi="David"/>
          <w:b/>
          <w:bCs/>
          <w:u w:val="single"/>
          <w:rtl/>
        </w:rPr>
        <w:t>רקע עובדתי רלוונטי והליכים קודמים בעניינם של הצדדים</w:t>
      </w:r>
    </w:p>
    <w:p w:rsidR="00311DDA" w:rsidRDefault="00311DDA" w:rsidP="00311DDA">
      <w:pPr>
        <w:spacing w:line="360" w:lineRule="auto"/>
        <w:jc w:val="both"/>
        <w:rPr>
          <w:rFonts w:ascii="David" w:hAnsi="David"/>
          <w:rtl/>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פטירת המנוחה הגיש התובע לרשם לענייני ירושה בקשה לצו ירושה והנתבעת הגישה התנגדות לבקשה זו (להלן: </w:t>
      </w:r>
      <w:r>
        <w:rPr>
          <w:rFonts w:ascii="David" w:hAnsi="David" w:cs="David"/>
          <w:b/>
          <w:bCs/>
          <w:sz w:val="24"/>
          <w:szCs w:val="24"/>
          <w:rtl/>
        </w:rPr>
        <w:t>"ההתנגדות"</w:t>
      </w:r>
      <w:r>
        <w:rPr>
          <w:rFonts w:ascii="David" w:hAnsi="David" w:cs="David"/>
          <w:sz w:val="24"/>
          <w:szCs w:val="24"/>
          <w:rtl/>
        </w:rPr>
        <w:t xml:space="preserve">). </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בעקבות הגשת ההתנגדות, ההליכים הועברו לבית משפט זה (להלן: </w:t>
      </w:r>
      <w:r>
        <w:rPr>
          <w:rFonts w:ascii="David" w:hAnsi="David" w:cs="David"/>
          <w:b/>
          <w:bCs/>
          <w:sz w:val="24"/>
          <w:szCs w:val="24"/>
          <w:rtl/>
        </w:rPr>
        <w:t>"ההליכים הקודמים"</w:t>
      </w:r>
      <w:r>
        <w:rPr>
          <w:rFonts w:ascii="David" w:hAnsi="David" w:cs="David"/>
          <w:sz w:val="24"/>
          <w:szCs w:val="24"/>
          <w:rtl/>
        </w:rPr>
        <w:t xml:space="preserve">). </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במסגרת פסק דין שניתן ביום 20.12.2021 בת"ע 23729-08-20 (להלן: "</w:t>
      </w:r>
      <w:r>
        <w:rPr>
          <w:rFonts w:ascii="David" w:hAnsi="David" w:cs="David"/>
          <w:b/>
          <w:bCs/>
          <w:sz w:val="24"/>
          <w:szCs w:val="24"/>
          <w:rtl/>
        </w:rPr>
        <w:t>פסק הדין</w:t>
      </w:r>
      <w:r>
        <w:rPr>
          <w:rFonts w:ascii="David" w:hAnsi="David" w:cs="David"/>
          <w:sz w:val="24"/>
          <w:szCs w:val="24"/>
          <w:rtl/>
        </w:rPr>
        <w:t>") התקבלה הבקשה לצו ירושה ונדחתה ההתנגדות ונקבע, בין היתר, כי התובע והמנוחה היו ידועים בציבור לצורך סעיף 55 לחוק הירושה, התשכ"ה–1965 (להלן: "</w:t>
      </w:r>
      <w:r>
        <w:rPr>
          <w:rFonts w:ascii="David" w:hAnsi="David" w:cs="David"/>
          <w:b/>
          <w:bCs/>
          <w:sz w:val="24"/>
          <w:szCs w:val="24"/>
          <w:rtl/>
        </w:rPr>
        <w:t>חוק הירושה</w:t>
      </w:r>
      <w:r>
        <w:rPr>
          <w:rFonts w:ascii="David" w:hAnsi="David" w:cs="David"/>
          <w:sz w:val="24"/>
          <w:szCs w:val="24"/>
          <w:rtl/>
        </w:rPr>
        <w:t xml:space="preserve">").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במסגרת פסק הדין, ניתנה הוראה על הגשת צו ירושה לאחר שנוסח הצו יתואם עם ב"כ היועמ"ש. בעקבות הוראה זו, התעוררה מחלוקת בין הצדדים באשר לנוסח הצו:</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spacing w:after="0" w:line="360" w:lineRule="auto"/>
        <w:jc w:val="both"/>
        <w:rPr>
          <w:rFonts w:ascii="David" w:hAnsi="David" w:cs="David"/>
          <w:sz w:val="24"/>
          <w:szCs w:val="24"/>
          <w:rtl/>
        </w:rPr>
      </w:pPr>
      <w:r>
        <w:rPr>
          <w:rFonts w:ascii="David" w:hAnsi="David" w:cs="David"/>
          <w:sz w:val="24"/>
          <w:szCs w:val="24"/>
          <w:rtl/>
        </w:rPr>
        <w:t>בעוד שהתובע טען כי לאור ההסכם ולאור תצהיר ההסתלקות החלוקה בצו הירושה צריכה להיות 35%-65% לטובת התובע, הנתבעת טענה כי החלוקה בצו הירושה צריכה להיות 50%-50%.</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קבלת תגובת ב"כ היועמ"ש ומנהלת העיזבון, ניתנה החלטה ביום 17.1.22 בתיק 23729-08-22 בה נקבע, בין היתר, כי כל אחד מהצדדים זכאי לחלק השווה לחצי מעיזבון המנוחה.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b/>
          <w:bCs/>
          <w:sz w:val="24"/>
          <w:szCs w:val="24"/>
          <w:u w:val="single"/>
          <w:rtl/>
        </w:rPr>
      </w:pPr>
      <w:r>
        <w:rPr>
          <w:rFonts w:ascii="David" w:hAnsi="David" w:cs="David"/>
          <w:sz w:val="24"/>
          <w:szCs w:val="24"/>
          <w:rtl/>
        </w:rPr>
        <w:t xml:space="preserve">על ההחלטה הנ"ל הוגשה בקשת רשות ערעור לבית המשפט המחוזי במסגרת רמ"ש 50338-01-22 אשר נדחתה בהחלטה מיום 1.2.22 (להלן: </w:t>
      </w:r>
      <w:r>
        <w:rPr>
          <w:rFonts w:ascii="David" w:hAnsi="David" w:cs="David"/>
          <w:b/>
          <w:bCs/>
          <w:sz w:val="24"/>
          <w:szCs w:val="24"/>
          <w:rtl/>
        </w:rPr>
        <w:t>"החלטת בית המשפט המחוזי"</w:t>
      </w:r>
      <w:r>
        <w:rPr>
          <w:rFonts w:ascii="David" w:hAnsi="David" w:cs="David"/>
          <w:sz w:val="24"/>
          <w:szCs w:val="24"/>
          <w:rtl/>
        </w:rPr>
        <w:t>).</w:t>
      </w:r>
    </w:p>
    <w:p w:rsidR="00311DDA" w:rsidRDefault="00311DDA" w:rsidP="00311DDA">
      <w:pPr>
        <w:spacing w:line="360" w:lineRule="auto"/>
        <w:jc w:val="both"/>
        <w:rPr>
          <w:rFonts w:ascii="David" w:hAnsi="David"/>
          <w:b/>
          <w:bCs/>
          <w:u w:val="single"/>
          <w:rtl/>
        </w:rPr>
      </w:pPr>
    </w:p>
    <w:p w:rsidR="00311DDA" w:rsidRDefault="00311DDA" w:rsidP="00311DDA">
      <w:pPr>
        <w:spacing w:line="360" w:lineRule="auto"/>
        <w:jc w:val="both"/>
        <w:rPr>
          <w:rFonts w:ascii="David" w:hAnsi="David"/>
          <w:b/>
          <w:bCs/>
          <w:u w:val="single"/>
          <w:rtl/>
        </w:rPr>
      </w:pPr>
      <w:r>
        <w:rPr>
          <w:rFonts w:ascii="David" w:hAnsi="David"/>
          <w:b/>
          <w:bCs/>
          <w:u w:val="single"/>
          <w:rtl/>
        </w:rPr>
        <w:t xml:space="preserve">הערה מקדימה </w:t>
      </w:r>
    </w:p>
    <w:p w:rsidR="00311DDA" w:rsidRDefault="00311DDA" w:rsidP="00311DDA">
      <w:pPr>
        <w:pStyle w:val="a9"/>
        <w:spacing w:after="0" w:line="360" w:lineRule="auto"/>
        <w:jc w:val="both"/>
        <w:rPr>
          <w:rFonts w:ascii="David" w:hAnsi="David" w:cs="David"/>
          <w:sz w:val="24"/>
          <w:szCs w:val="24"/>
          <w:rtl/>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לאור העובדה כי ההסכם ותצהיר ההסתלקות נחתמו בו ביום, טענות הצדדים בשני ההליכים דומות. לאור זאת, פירוט טענות הצדדים ביחס לשני ההליכים וההכרעה בהם יעשו במשותף.</w:t>
      </w:r>
    </w:p>
    <w:p w:rsidR="00311DDA" w:rsidRDefault="00311DDA" w:rsidP="00311DDA">
      <w:pPr>
        <w:spacing w:line="360" w:lineRule="auto"/>
        <w:jc w:val="both"/>
        <w:rPr>
          <w:rFonts w:ascii="David" w:hAnsi="David"/>
          <w:b/>
          <w:bCs/>
          <w:u w:val="single"/>
          <w:rtl/>
        </w:rPr>
      </w:pPr>
    </w:p>
    <w:p w:rsidR="00311DDA" w:rsidRDefault="00311DDA" w:rsidP="00311DDA">
      <w:pPr>
        <w:spacing w:line="360" w:lineRule="auto"/>
        <w:jc w:val="both"/>
        <w:rPr>
          <w:rFonts w:ascii="David" w:hAnsi="David"/>
          <w:b/>
          <w:bCs/>
          <w:u w:val="single"/>
          <w:rtl/>
        </w:rPr>
      </w:pPr>
      <w:r>
        <w:rPr>
          <w:rFonts w:ascii="David" w:hAnsi="David"/>
          <w:b/>
          <w:bCs/>
          <w:u w:val="single"/>
          <w:rtl/>
        </w:rPr>
        <w:t>עיקר טענות התובע בשני ההליכים</w:t>
      </w:r>
    </w:p>
    <w:p w:rsidR="00311DDA" w:rsidRDefault="00311DDA" w:rsidP="00311DDA">
      <w:pPr>
        <w:spacing w:line="360" w:lineRule="auto"/>
        <w:jc w:val="both"/>
        <w:rPr>
          <w:rFonts w:ascii="David" w:hAnsi="David"/>
          <w:b/>
          <w:bCs/>
          <w:u w:val="single"/>
          <w:rtl/>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לאחר פטירת המנוחה נחתם הה</w:t>
      </w:r>
      <w:r w:rsidR="009003CA">
        <w:rPr>
          <w:rFonts w:ascii="David" w:hAnsi="David" w:cs="David"/>
          <w:sz w:val="24"/>
          <w:szCs w:val="24"/>
          <w:rtl/>
        </w:rPr>
        <w:t>סכם הראשון להסדרת חלוקת עיזבונה</w:t>
      </w:r>
      <w:r>
        <w:rPr>
          <w:rFonts w:ascii="David" w:hAnsi="David" w:cs="David"/>
          <w:sz w:val="24"/>
          <w:szCs w:val="24"/>
          <w:rtl/>
        </w:rPr>
        <w:t xml:space="preserve"> בין התובע לנתבעת ובנותיה – שתי אחיותיה של המנוחה – </w:t>
      </w:r>
      <w:r w:rsidR="009003CA">
        <w:rPr>
          <w:rFonts w:ascii="David" w:hAnsi="David" w:cs="David" w:hint="cs"/>
          <w:sz w:val="24"/>
          <w:szCs w:val="24"/>
          <w:rtl/>
        </w:rPr>
        <w:t>ו</w:t>
      </w:r>
      <w:r>
        <w:rPr>
          <w:rFonts w:ascii="David" w:hAnsi="David" w:cs="David"/>
          <w:sz w:val="24"/>
          <w:szCs w:val="24"/>
          <w:rtl/>
        </w:rPr>
        <w:t>בו הוסכם, בין היתר, על חלוקת עיזבון המנוחה ביחס של 65% לטובת התובע ו-35% לטובת הנתבעת ובנותיה.</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הנתבעת ובנותיה חתמו על תצהירי הסתלקות סופיים ובלתי חוזרים, שלפיהם כל אחת מהן מסתלקת בשיעור של 5% מעיזבון המנוחה לטובת התובע.</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ביום 19.2.2019 הגיש התובע בקשה לצו ירושה בצירוף תצהירי ההסתלקות. בקשה זו נדחתה על-ידי רשם הירושה מהטעם שבן הזוג וההורה הם היורשים הבלעדיים של המנוחה ואילו אחיותיה אינן יורשות. לפיכך, לאחר משא ומתן נוסף בין הצדדים נחתם ההסכם.</w:t>
      </w: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הנתבעת חתמה על תצהיר ההסתלקות, שהוא תצהיר הסתלקות סופי, מוחלט ובלתי חוזר, ולפיו היא מסתלקת מחלקה בעיזבון המנוחה בשיעור של 15% לטובת התובע.</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לאחר השלמת מלוא דרישות ב"כ היועמ"ש, ניתנה הודעה מטעמו ביום 13.7.2020, אשר לפיה חלקו של התובע בעיזבון המנוחה הוא 65/100 וחלקה של הנתבעת הוא 35/100.</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סמוך לאחר שניתנה הודעת ב"כ היועמ"ש הגישה הנתבעת את ההתנגדות לבקשה לצו ירושה וטענה כי התובע כלל לא היה ידוע בציבור של המנוחה.</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לאחר שניתן פסק הדין נתגלעה מחלוקת בין הצדדים לעניין נוסח הצו. התובע טען כי נוכח תצהיר ההסתלקות חלקו בעיזבון המנוחה הוא 65/100 וחלקה של הנתבעת הוא 35/100.</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במסגרת החלטה מיום 17.1.2022 נקבע כי חלקו של התובע בעיזבון הוא מחצית. על החלטה זו הוגשה בר"ע אשר נדונה במסגרת רמ"ש 50338-01-22. במסגרת החלטה מיום 1.2.2022 נקבע על-ידי ערכאת הערעור, בין היתר, כי משעה שהובהר בפסק הדין כי בית המשפט אינו מכריע בטענות הצדדים בנוגע לתוקפם של ההסכמים, היינו הוא אינו מכריע בתוקפו של תצהיר ההסתלקות המהווה חלק מההסכמים, אזי לא ניתן לקבל את אשר נקבע בפסק הדין כי תצהיר ההסתלקות תקף.</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מכאן לא נותרה לתובע ברירה אלא לפנות בתביעה לסעד לפיו יש ליתן תוקף לתצהיר ההסתלקות ולהסכם וכפועל יוצא חלקו של התובע בעיזבון הוא 65%.</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בהתאם להוראות סעיף 6 לחוק הירושה, יורש יכול להסתלק מחלקו בעיזבון החל ממות המוריש וכל עוד לא חולק העיזבון.</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יש להורות כי תצהיר ההסתלקות וההסכם בתוקף ולקבוע כי חלקו של התובע בעיזבון המנוחה הוא 65%.</w:t>
      </w:r>
    </w:p>
    <w:p w:rsidR="00311DDA" w:rsidRDefault="00311DDA" w:rsidP="00311DDA">
      <w:pPr>
        <w:pStyle w:val="a9"/>
        <w:spacing w:line="360" w:lineRule="auto"/>
        <w:jc w:val="both"/>
        <w:rPr>
          <w:rFonts w:ascii="David" w:hAnsi="David" w:cs="David"/>
          <w:sz w:val="24"/>
          <w:szCs w:val="24"/>
        </w:rPr>
      </w:pPr>
    </w:p>
    <w:p w:rsidR="00311DDA" w:rsidRDefault="00311DDA" w:rsidP="00AB4D09">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לפי הוראות חוק הירושה אין נפקא מינה אם המסתלק הוכרז כיורש אם לאו, שכן ככל שמרגע מות המוריש אדם חותם על תצהיר הסתלקות, תצהיר ההסתלקות תקף ובלבד שהוא הוגש לרשם לענייני ירושה או לבית המשפט.</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לפיכך משעה שהנתבעת חתמה על תצהיר ההסתלקות והוא הוגש לרשם לענייני ירושה ולבית המשפט, יש לקבוע כי הוא תקף הגם שנחתם לפני שהצדדים הוכרזו כיורשי המנוחה.</w:t>
      </w: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העיקרון המנחה בדיני החוזים הוא שככלל הסכמים יש לכבד, ומשנחתם בין התובע לנתבעת הסכם מחייב יש להורות על אכיפתו.</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spacing w:line="360" w:lineRule="auto"/>
        <w:jc w:val="both"/>
        <w:rPr>
          <w:rFonts w:ascii="David" w:hAnsi="David"/>
          <w:b/>
          <w:bCs/>
          <w:u w:val="single"/>
          <w:rtl/>
        </w:rPr>
      </w:pPr>
      <w:r>
        <w:rPr>
          <w:rFonts w:ascii="David" w:hAnsi="David"/>
          <w:b/>
          <w:bCs/>
          <w:u w:val="single"/>
          <w:rtl/>
        </w:rPr>
        <w:t>עיקר טענות הנתבעת בשני ההליכים</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יש לדחות את התביעה בשל מעשה בית דין.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במסגרת החלטה מיום 17.1.2022 בת"ע 23729-08-20, אשר דנה גם בתצהיר ההסתלקות, שהיה חלק מטענות התובע לאופן חלוקת העיזבון, נקבע כי התובע יגיש בקשה לצו ירושה לחתימה לפי חלוקה של 50%-50% בין יורשי המנוחה – התובע והנתבעת. התובע הגיש בר"ע אשר נדחתה על הסף.</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טרם ניתן צו ירושה כדין. תצהיר ההסתלקות הוא חלק בלתי נפרד מההסכם והם נחתמו לפני שניתן צו ירושה ולפני שמעמדו של התובע כיורש של המנוחה היה ידוע ולפיכך אין להם תוקף.</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התביעה הוגשה בחוסר תום לב, כאשר ידוע היטב לתובע כי תצהיר ההסתלקות הינו חלק בלתי נפרד מההסכם שנחתם לפני שניתן צו ירושה כדין ולפני שנקבע מי הם יורשי המנוחה. לתצהיר ההסתלקות ולהסכם אין תוקף חוקי והם נחתמו תוך הטעייה של הנתבעת ובנותיה.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מדובר בחוסר תום לב ובניסיון לעקוף את החלטת בית המשפט המחוזי אשר דחתה את בקשת רשות הערעור של התובע ונקבע כי אופן חלוקת עיזבון המנוחה יהיה בצו ירושה בהתאם לסעיף 11(א) (2) לחוק הירושה ביחס של 50% לכל יורש. </w:t>
      </w:r>
    </w:p>
    <w:p w:rsidR="00311DDA" w:rsidRPr="00871141" w:rsidRDefault="00311DDA" w:rsidP="00311DDA">
      <w:pPr>
        <w:pStyle w:val="a9"/>
        <w:rPr>
          <w:rFonts w:ascii="David" w:hAnsi="David" w:cs="David"/>
          <w:sz w:val="24"/>
          <w:szCs w:val="24"/>
          <w:rtl/>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על חוסר תום ליבו של התובע והטעייתו את הנתבעת באשר לזכותו בירושת המנוחה ניתן ללמוד בדיעבד מדרך התנהלותו שקדמה לחתימת הנתבעת על תצהיר ההסתלקות, כפי שיפורט להלן. </w:t>
      </w:r>
    </w:p>
    <w:p w:rsidR="00311DDA" w:rsidRDefault="00311DDA" w:rsidP="00311DDA">
      <w:pPr>
        <w:pStyle w:val="a9"/>
        <w:spacing w:line="360" w:lineRule="auto"/>
        <w:jc w:val="both"/>
        <w:rPr>
          <w:rFonts w:ascii="David" w:hAnsi="David" w:cs="David"/>
          <w:sz w:val="24"/>
          <w:szCs w:val="24"/>
        </w:rPr>
      </w:pPr>
    </w:p>
    <w:p w:rsidR="00311DDA" w:rsidRPr="002B1F77" w:rsidRDefault="00311DDA" w:rsidP="00311DDA">
      <w:pPr>
        <w:pStyle w:val="a9"/>
        <w:numPr>
          <w:ilvl w:val="0"/>
          <w:numId w:val="1"/>
        </w:numPr>
        <w:spacing w:after="0" w:line="360" w:lineRule="auto"/>
        <w:jc w:val="both"/>
        <w:rPr>
          <w:rFonts w:ascii="David" w:hAnsi="David" w:cs="David"/>
          <w:sz w:val="24"/>
          <w:szCs w:val="24"/>
          <w:rtl/>
        </w:rPr>
      </w:pPr>
      <w:r w:rsidRPr="002B1F77">
        <w:rPr>
          <w:rFonts w:ascii="David" w:hAnsi="David" w:cs="David"/>
          <w:sz w:val="24"/>
          <w:szCs w:val="24"/>
          <w:rtl/>
        </w:rPr>
        <w:t>תצהיר ההסתלקות וההסכם נחתמו לפני שניתן צו ירושה כדין ונקבעו יורשיה החוקיים של המנוחה ומטעם זה יש לדחות את התובענה על הסף. אדם אינו יכול להסתלק מחלקו בירושה כאשר טרם נולדה לו זכות הירושה.</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בעניין תצהיר ההסתלקות הכלל הוא שיש לפרש מסמך בהתחשב בהקשר הדברים בו נכתב ויש לראות את העסקה כולה. משכך וגם לאור סעיפים 1 ו-11 להסכם, תצהיר ההסתלקות הינו חלק בלתי נפרד מההסכם. בהסכם צוין גם כי ייחתם תצהיר הסתלקות בנדון (סעיף 11) </w:t>
      </w:r>
      <w:r>
        <w:rPr>
          <w:rFonts w:ascii="David" w:hAnsi="David" w:cs="David"/>
          <w:sz w:val="24"/>
          <w:szCs w:val="24"/>
          <w:rtl/>
        </w:rPr>
        <w:lastRenderedPageBreak/>
        <w:t>וכי הצהרות הצדדים מהוות חלק בלתי נפרד מההסכם (סעיף 1). אשר על כן, ומשעה שלא ניתן לחתום על הסכם חלוקת עיזבון בין יורשים טרם נולדה זכות הירושה, ברי כי דינו של תצהיר ההסתלקות שנחתם מכוחו בטלות.</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לחלופין – הסתלקותה של הנתבעת הינה עניין של רצון חופשי כאשר טרם ניתן צו ירושה ועד מועד זה וכאשר קיימת לנתבעת זכות לחזור בה משעה שטרם ניתן צו ירושה כדין ומשעה שטרם נקבע מי הם יורשי המנוחה כדין.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הנתבעת הוטעתה על-ידי התובע טרם החתימה על ההסכם ותצהיר ההסתלקות באשר למעמדו של התובע כיורש ובאשר לחלקו על-פי דין בעיזבונה של המנוחה.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הודעת הנתבעת על ביטול תצהיר ההסתלקות מטעמה וביטול ההסכם נעשתה קודם שניתן פסק הדין המכריז על התובע כידוע בציבור של המנוחה ולא אחריו, ולפני שניתן צו ירושה כדין ובכל זמן עד למתן צו הירושה יכולה הנתבעת לחזור בה מתצהיר ההסתלקות. </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ניתן ללמוד על חוסר הבנת הנתבעת בדיעבד מהתנהלות התובע ובאת כוחו עוד טרם נולדו ההליכים המשפטיים.</w:t>
      </w:r>
    </w:p>
    <w:p w:rsidR="00311DDA" w:rsidRDefault="00311DDA" w:rsidP="00311DDA">
      <w:pPr>
        <w:pStyle w:val="a9"/>
        <w:spacing w:after="0" w:line="360" w:lineRule="auto"/>
        <w:jc w:val="both"/>
        <w:rPr>
          <w:rFonts w:ascii="David" w:hAnsi="David" w:cs="David"/>
          <w:sz w:val="24"/>
          <w:szCs w:val="24"/>
        </w:rPr>
      </w:pPr>
    </w:p>
    <w:p w:rsidR="00311DDA" w:rsidRDefault="00311DDA" w:rsidP="005D595B">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סמוך לפטירת המנוחה זומנה בתה של הנתבעת, הגב' </w:t>
      </w:r>
      <w:r w:rsidR="005D595B">
        <w:rPr>
          <w:rFonts w:ascii="David" w:hAnsi="David" w:cs="David" w:hint="cs"/>
          <w:sz w:val="24"/>
          <w:szCs w:val="24"/>
          <w:rtl/>
        </w:rPr>
        <w:t>***</w:t>
      </w:r>
      <w:r>
        <w:rPr>
          <w:rFonts w:ascii="David" w:hAnsi="David" w:cs="David"/>
          <w:sz w:val="24"/>
          <w:szCs w:val="24"/>
          <w:rtl/>
        </w:rPr>
        <w:t xml:space="preserve"> (להלן: </w:t>
      </w:r>
      <w:r>
        <w:rPr>
          <w:rFonts w:ascii="David" w:hAnsi="David" w:cs="David"/>
          <w:b/>
          <w:bCs/>
          <w:sz w:val="24"/>
          <w:szCs w:val="24"/>
          <w:rtl/>
        </w:rPr>
        <w:t>"הבת"</w:t>
      </w:r>
      <w:r>
        <w:rPr>
          <w:rFonts w:ascii="David" w:hAnsi="David" w:cs="David"/>
          <w:sz w:val="24"/>
          <w:szCs w:val="24"/>
          <w:rtl/>
        </w:rPr>
        <w:t xml:space="preserve">) על-ידי באת כוחו של התובע לפגישה כדי לדון בחלוקת עיזבון המנוחה. הבת הגיעה לפגישה זו יחד עם בעלה, ללא ייצוג על-ידי עורך דין, והיא סברה כי באת כוחו של התובע מייצגת את שני הצדדים. </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במסגרת פגישה זו הוסבר לבת ולבעלה, לכאורה, מעמדו החוקי של התובע כיורש הזכאי לרשת מחצית מעיזבון המנוחה מכוח חזקת השיתוף, ואף נודע לבאת כוחו של התובע מפי הבת כי הנתבעת בחיים ולא כפי שסברה קודם. </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במסגרת פגישה זו הוצג לבת מצג שווא מטעה בדבר זכאותו של התובע לרשת מעיזבונה של המנוחה מכוח חזקת השיתוף כאשר יודגש כי דירתה של המנוחה נרכשה טרם היכרותה את התובע כלל, עובדה שלא הוכחשה מעולם על-ידי התובע בהליכים המשפטיים. ומשכך, נוצר מצג שווא ו/או הטעייה כלפי הנתבעת (באמצעות בתה, מיופת כוחה) לפיו זכאית הנתבעת רק ל-25% מעיזבון המנוחה ולכאורה, התובע מיטיב עמה בעצם החלוקה של 35% לנתבעת ו-65% לתובע מעיזבון המנוחה.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אין כל הגיון סביר לכך שהנתבעת תוותר על זכותה על-פי דין לרשת לפחות מחצית מעיזבון המנוחה באם יוכר התובע כבן זוג הזכאי לרשת את המנוחה (כפי שהוכר בפסק הדין). זכאות זו נולדה לאחר חתימת ההסכם ותצהיר ההסתלקות וכאשר זכאותו כיורש הינה כל עוד פסק הדין יוותר על כנו. ומכאן ניתן ללמוד, בדיעבד, על דרך התנהלותו של התובע, הטעייתו וחוסר תום ליבו כלפי הנתבעת.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ראייה נוספת לחוסר הבנה של הנתבעת והטעייתה ניתן ללמוד גם מהעובדה שההסכם נחתם לאחר תגובת ב"כ היועמ"ש. על ההטעיה ניתן ללמוד בדיעבד גם מהעובדה שלמעשה הנתבעת ויתרה על יותר מחלקה על-פי דין בעיזבון המנוחה ללא כל הסבר מניח את הדעת וכאשר מעיון בהסכם חלוקת העיזבון גופו לא נמצא כי ויתור זה, לכאורה, השתלם עבורה ואין כל מניע ברור מדוע שתוותר הנתבעת על חלקה על-פי דין, אילולא הוטעתה באשר לזכותה זו.</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ברגע שזומנה הבת על-ידי התובע לבית הדין לעבודה בתביעה אשר הגיש לעניין זכויותיה של המנוחה ממקום העבודה והכרה במעמדו כידוע בציבור (ק''ג 52683-12-19) או אז הבינה הנתבעת כי הוטעתה בחתימתה על הסכמי חלוקת העיזבון והתצהירים כאשר טרם ניתן צו ירושה כדין באשר למעמדו החוקי של התובע כיורש של המנוחה ו/או באשר לחלקו גם אם יוכר כידוע בציבור. אי לכך הוגשה ההתנגדות במסגרתה הודיעה על ביטול כל ההסכמים והתצהירים שנחתמו בינה לבין התובע בעניין עזבון המנוחה, לרבות תצהיר ההסתלקות.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מעמדו החוקי של התובע כיורש של המנוחה אינו סופי עד למתן החלטה בערעור שהגישה הנתבעת.</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עצם הגשת תצהיר ההסתלקות לבית המשפט במסגר</w:t>
      </w:r>
      <w:r w:rsidR="008B0B9F">
        <w:rPr>
          <w:rFonts w:ascii="David" w:hAnsi="David" w:cs="David"/>
          <w:sz w:val="24"/>
          <w:szCs w:val="24"/>
          <w:rtl/>
        </w:rPr>
        <w:t xml:space="preserve">ת התובענות והגשתו לרשם לענייני </w:t>
      </w:r>
      <w:r>
        <w:rPr>
          <w:rFonts w:ascii="David" w:hAnsi="David" w:cs="David"/>
          <w:sz w:val="24"/>
          <w:szCs w:val="24"/>
          <w:rtl/>
        </w:rPr>
        <w:t xml:space="preserve">ירושה במסגרת הבקשה למתן צו ירושה אין בהן כדי להכריז על הנתבעת כיורשת, אלא רק צו ירושה חתום כדין או החלטה שיפוטית בנדון (שלא ניתנה) וגם מטעם זה אין תוקף לתצהיר ההסתלקות ואין לו תוקף למפרע ודין התביעה להידחות על הסף.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הנתבעת הוטעתה על-ידי התובע ו/או באת כוחו באשר למעמדו של התובע כיורש ו/או בקשר לחלקו אף אם יוכר כידוע בציבור, לא ניתנו לה הסברים והיא לא הבינה את המשמעות המשפטית של חתימת תצהיר ההסתלקות וההסכם, כאשר, בדיעבד, התברר לה כי מעמדו של התובע בשעת חתימת ההסכם ותצהיר ההסתלקות מטעמו מושא התביעה אינו של יורש כדין. </w:t>
      </w:r>
    </w:p>
    <w:p w:rsidR="00311DDA" w:rsidRPr="002B1F77" w:rsidRDefault="00311DDA" w:rsidP="00311DDA">
      <w:pPr>
        <w:pStyle w:val="a9"/>
        <w:rPr>
          <w:rFonts w:ascii="David" w:hAnsi="David" w:cs="David"/>
          <w:sz w:val="24"/>
          <w:szCs w:val="24"/>
          <w:rtl/>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הנתבעת מודה באשר לחתימתה על תצהיר ההסתלקות ואולם הוא נחתם תוך הטעייה ולפני שניתן צו ירושה כדין ומשכך דינו להתבטל ואין לו תוקף חוקי. </w:t>
      </w: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אין יורש יכול להסתלק מחלקו בירושה כשטרם נולד חלקו, וכאשר טרם הוכרז מעמדו כיורש חוקי ואף לשון סעיף 6 לחוק הירושה בנדון מתייחס ל"יורש". אדם אינו יכול להסתלק ממה שאין לו – ובמועד בו חתמה הנתבעת על ההסכם ועל תצהיר ההסתלקות היא לא הייתה במעמד של יורשת כדין וקל וחומר שהתובע עצמו לא היה עדיין יורש או מוכר כידוע בציבור של המנוחה, שכן רק ביום 20.12.21 הוכר התובע כידוע בציבור. דרך המלך היא לקבל צו ירושה כדין ולאחר מכן להסתלק מחלקו של יורש לאחר שהוכרז מעמדו כיורש – ולא כך היה במקרה דנן.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לאחר פטירת המנוחה הוזמנה הבת על-ידי התובע וב"כ לפגישה במטרה לדון באשר לחלוקת עיזבון המנוחה. בפגישה שהתקיימה הנתבעת ובנותיה לא היו מיוצגות וההסברים המשפטיים וההשלכות המשפטיות נעשו על-ידי באת כוחו של התובע תוך ניגוד עניינים מובהק היורד לשורשו של ההסכם ותוך שהנתבעת ובנותיה הוטעו וחשבו שהתובע היה ידוע בציבור של המנוחה הזכאי לרשת אותה וכי לכאורה הוא זכאי לחלק בעיזבון המנוחה מכוח חזקת השיתוף. ואולם, בדיעבד, התברר לנתבעת ובנותיה כי הן הוטעו והן לא הבינו את המשמעות המשפטית בנדון ו/או את השלכותיה.</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spacing w:line="360" w:lineRule="auto"/>
        <w:jc w:val="both"/>
        <w:rPr>
          <w:rFonts w:ascii="David" w:hAnsi="David"/>
          <w:b/>
          <w:bCs/>
          <w:u w:val="single"/>
          <w:rtl/>
        </w:rPr>
      </w:pPr>
      <w:r>
        <w:rPr>
          <w:rFonts w:ascii="David" w:hAnsi="David"/>
          <w:b/>
          <w:bCs/>
          <w:u w:val="single"/>
          <w:rtl/>
        </w:rPr>
        <w:t>הסכמה דיונית</w:t>
      </w:r>
    </w:p>
    <w:p w:rsidR="00311DDA" w:rsidRDefault="00311DDA" w:rsidP="00311DDA">
      <w:pPr>
        <w:spacing w:line="360" w:lineRule="auto"/>
        <w:jc w:val="both"/>
        <w:rPr>
          <w:rFonts w:ascii="David" w:hAnsi="David"/>
          <w:rtl/>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8.8.23 הודיעו הצדדים כי הם מסכימים ששני ההליכים יוכרעו על יסוד החומר המונח בפני בית המשפט. כפועל יוצא מהסכמה זו ניתנה החלטה המורה על הגשת תיק מוצגים משותף (להלן: </w:t>
      </w:r>
      <w:r>
        <w:rPr>
          <w:rFonts w:ascii="David" w:hAnsi="David" w:cs="David"/>
          <w:b/>
          <w:bCs/>
          <w:sz w:val="24"/>
          <w:szCs w:val="24"/>
          <w:rtl/>
        </w:rPr>
        <w:t>"תיק המוצגים"</w:t>
      </w:r>
      <w:r>
        <w:rPr>
          <w:rFonts w:ascii="David" w:hAnsi="David" w:cs="David"/>
          <w:sz w:val="24"/>
          <w:szCs w:val="24"/>
          <w:rtl/>
        </w:rPr>
        <w:t>).</w:t>
      </w:r>
    </w:p>
    <w:p w:rsidR="00311DDA" w:rsidRDefault="00311DDA" w:rsidP="00311DDA">
      <w:pPr>
        <w:spacing w:line="360" w:lineRule="auto"/>
        <w:jc w:val="both"/>
        <w:rPr>
          <w:rFonts w:ascii="David" w:hAnsi="David"/>
          <w:rtl/>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לאחר הגשת תיק המוצגים ועיון במלוא התשתית העובדתית והראייתית הוצעה על-ידי בית המשפט הצעה להכריע בהליך על יסוד סעיף 79 א' לחוק בתי המשפט, התשמ"ד–1984.</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16.10.23 הוגשה הודעת הצדדים במסגרתה ביקשו, בין היתר, כי יינתן פסק דין מנומק ומכאן פסק דין זה. </w:t>
      </w:r>
    </w:p>
    <w:p w:rsidR="00311DDA" w:rsidRDefault="00311DDA" w:rsidP="00311DDA">
      <w:pPr>
        <w:spacing w:line="360" w:lineRule="auto"/>
        <w:jc w:val="both"/>
        <w:rPr>
          <w:rFonts w:ascii="David" w:hAnsi="David"/>
          <w:b/>
          <w:bCs/>
          <w:u w:val="single"/>
          <w:rtl/>
        </w:rPr>
      </w:pPr>
    </w:p>
    <w:p w:rsidR="00311DDA" w:rsidRDefault="00311DDA" w:rsidP="00311DDA">
      <w:pPr>
        <w:spacing w:line="360" w:lineRule="auto"/>
        <w:jc w:val="both"/>
        <w:rPr>
          <w:rFonts w:ascii="David" w:hAnsi="David"/>
          <w:b/>
          <w:bCs/>
          <w:u w:val="single"/>
          <w:rtl/>
        </w:rPr>
      </w:pPr>
      <w:r>
        <w:rPr>
          <w:rFonts w:ascii="David" w:hAnsi="David"/>
          <w:b/>
          <w:bCs/>
          <w:u w:val="single"/>
          <w:rtl/>
        </w:rPr>
        <w:t>דיון והכרעה</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לאחר עיון במלוא התשתית העובדתית והראייתית הגעתי למסקנה כי דין שתי התביעות להתקבל.</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עיון בטענות הנתבעת מוביל למסקנה כי טענות ההגנה העיקריות הינן כדלהלן:</w:t>
      </w:r>
    </w:p>
    <w:p w:rsidR="00311DDA" w:rsidRDefault="00311DDA" w:rsidP="00311DDA">
      <w:pPr>
        <w:pStyle w:val="a9"/>
        <w:spacing w:line="360" w:lineRule="auto"/>
        <w:rPr>
          <w:rFonts w:ascii="David" w:hAnsi="David" w:cs="David"/>
          <w:b/>
          <w:bCs/>
          <w:sz w:val="24"/>
          <w:szCs w:val="24"/>
          <w:u w:val="single"/>
        </w:rPr>
      </w:pPr>
    </w:p>
    <w:p w:rsidR="00311DDA" w:rsidRDefault="00311DDA" w:rsidP="00311DDA">
      <w:pPr>
        <w:pStyle w:val="a9"/>
        <w:numPr>
          <w:ilvl w:val="0"/>
          <w:numId w:val="2"/>
        </w:numPr>
        <w:spacing w:after="0" w:line="360" w:lineRule="auto"/>
        <w:jc w:val="both"/>
        <w:rPr>
          <w:rFonts w:ascii="David" w:hAnsi="David" w:cs="David"/>
          <w:sz w:val="24"/>
          <w:szCs w:val="24"/>
          <w:rtl/>
        </w:rPr>
      </w:pPr>
      <w:r>
        <w:rPr>
          <w:rFonts w:ascii="David" w:hAnsi="David" w:cs="David"/>
          <w:sz w:val="24"/>
          <w:szCs w:val="24"/>
          <w:rtl/>
        </w:rPr>
        <w:t>מעשה בית דין;</w:t>
      </w:r>
    </w:p>
    <w:p w:rsidR="00311DDA" w:rsidRDefault="00311DDA" w:rsidP="00311DDA">
      <w:pPr>
        <w:pStyle w:val="a9"/>
        <w:numPr>
          <w:ilvl w:val="0"/>
          <w:numId w:val="2"/>
        </w:numPr>
        <w:spacing w:after="0" w:line="360" w:lineRule="auto"/>
        <w:jc w:val="both"/>
        <w:rPr>
          <w:rFonts w:ascii="David" w:hAnsi="David" w:cs="David"/>
          <w:sz w:val="24"/>
          <w:szCs w:val="24"/>
        </w:rPr>
      </w:pPr>
      <w:r>
        <w:rPr>
          <w:rFonts w:ascii="David" w:hAnsi="David" w:cs="David"/>
          <w:sz w:val="24"/>
          <w:szCs w:val="24"/>
          <w:rtl/>
        </w:rPr>
        <w:t>תוקפם של תצהיר ההסתלקות וההסכם שנחתמו טרם מתן צו ירושה ולפני הכרזת הצדדים כיורשים על-פי דין;</w:t>
      </w:r>
    </w:p>
    <w:p w:rsidR="00311DDA" w:rsidRDefault="00311DDA" w:rsidP="00311DDA">
      <w:pPr>
        <w:pStyle w:val="a9"/>
        <w:numPr>
          <w:ilvl w:val="0"/>
          <w:numId w:val="2"/>
        </w:numPr>
        <w:spacing w:after="0" w:line="360" w:lineRule="auto"/>
        <w:jc w:val="both"/>
        <w:rPr>
          <w:rFonts w:ascii="David" w:hAnsi="David" w:cs="David"/>
          <w:sz w:val="24"/>
          <w:szCs w:val="24"/>
        </w:rPr>
      </w:pPr>
      <w:r>
        <w:rPr>
          <w:rFonts w:ascii="David" w:hAnsi="David" w:cs="David"/>
          <w:sz w:val="24"/>
          <w:szCs w:val="24"/>
          <w:rtl/>
        </w:rPr>
        <w:t>הטעיית הנתבעת על-ידי התובע ובאת כוחו.</w:t>
      </w:r>
    </w:p>
    <w:p w:rsidR="00311DDA" w:rsidRDefault="00311DDA" w:rsidP="00311DDA">
      <w:pPr>
        <w:pStyle w:val="a9"/>
        <w:spacing w:after="0" w:line="360" w:lineRule="auto"/>
        <w:rPr>
          <w:rFonts w:ascii="David" w:hAnsi="David" w:cs="David"/>
          <w:sz w:val="24"/>
          <w:szCs w:val="24"/>
        </w:rPr>
      </w:pPr>
    </w:p>
    <w:p w:rsidR="00311DDA" w:rsidRDefault="00311DDA" w:rsidP="00311DDA">
      <w:pPr>
        <w:spacing w:line="360" w:lineRule="auto"/>
        <w:jc w:val="both"/>
        <w:rPr>
          <w:rFonts w:ascii="David" w:hAnsi="David"/>
          <w:u w:val="single"/>
          <w:rtl/>
        </w:rPr>
      </w:pPr>
      <w:r>
        <w:rPr>
          <w:rFonts w:ascii="David" w:hAnsi="David"/>
          <w:u w:val="single"/>
          <w:rtl/>
        </w:rPr>
        <w:t>מעשה בית דין</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יש לדחות את טענת הנתבעת כי החלטת בית המשפט המחוזי מהווה מעשה בית דין </w:t>
      </w:r>
      <w:r>
        <w:rPr>
          <w:rFonts w:ascii="David" w:hAnsi="David" w:cs="David"/>
          <w:b/>
          <w:bCs/>
          <w:sz w:val="24"/>
          <w:szCs w:val="24"/>
          <w:rtl/>
        </w:rPr>
        <w:t>ראו: בין היתר ס' 1, 11 לכתב ההגנה לתביעה בעניין תצהיר ההסתלקות ולתביעה בעניין ההסכם</w:t>
      </w:r>
      <w:r>
        <w:rPr>
          <w:rFonts w:ascii="David" w:hAnsi="David" w:cs="David"/>
          <w:sz w:val="24"/>
          <w:szCs w:val="24"/>
          <w:rtl/>
        </w:rPr>
        <w:t>.</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בע"א 1041/97 </w:t>
      </w:r>
      <w:r>
        <w:rPr>
          <w:rFonts w:ascii="David" w:hAnsi="David" w:cs="David"/>
          <w:b/>
          <w:bCs/>
          <w:sz w:val="24"/>
          <w:szCs w:val="24"/>
          <w:rtl/>
        </w:rPr>
        <w:t>סררו נ' נעלי תומרס בע"מ</w:t>
      </w:r>
      <w:r>
        <w:rPr>
          <w:rFonts w:ascii="David" w:hAnsi="David" w:cs="David"/>
          <w:sz w:val="24"/>
          <w:szCs w:val="24"/>
          <w:rtl/>
        </w:rPr>
        <w:t>, פ"ד נד(1) 642 (2000) סוכמה ההלכה לפיה:</w:t>
      </w:r>
    </w:p>
    <w:p w:rsidR="00311DDA" w:rsidRDefault="00311DDA" w:rsidP="00311DDA">
      <w:pPr>
        <w:pStyle w:val="a9"/>
        <w:spacing w:line="360" w:lineRule="auto"/>
        <w:rPr>
          <w:rFonts w:ascii="David" w:hAnsi="David" w:cs="David"/>
          <w:sz w:val="24"/>
          <w:szCs w:val="24"/>
        </w:rPr>
      </w:pPr>
    </w:p>
    <w:p w:rsidR="00311DDA" w:rsidRDefault="00311DDA" w:rsidP="00311DDA">
      <w:pPr>
        <w:pStyle w:val="a9"/>
        <w:spacing w:after="0" w:line="360" w:lineRule="auto"/>
        <w:ind w:left="1133" w:right="1134"/>
        <w:jc w:val="both"/>
        <w:rPr>
          <w:rFonts w:ascii="David" w:hAnsi="David" w:cs="David"/>
          <w:i/>
          <w:iCs/>
          <w:sz w:val="24"/>
          <w:szCs w:val="24"/>
          <w:rtl/>
        </w:rPr>
      </w:pPr>
      <w:r>
        <w:rPr>
          <w:rFonts w:ascii="David" w:hAnsi="David" w:cs="David"/>
          <w:i/>
          <w:iCs/>
          <w:sz w:val="24"/>
          <w:szCs w:val="24"/>
          <w:rtl/>
        </w:rPr>
        <w:t>"הדוקטרינה של "מעשה בית-דין" מושתתת על עקרון סופיות הדיון, ובמסגרתה אפשר להבחין בשני כללים עיקריים – "השתק עילה" ו"השתק פלוגתא". השתק עילה מקים מחסום דיוני בפני כל תביעה נוספת בשל אותה עילה, מקום שהתביעה נדונה לגופה והוכרעה על-ידי בית-משפט מוסמך. בין היתר, צריך הטוען "השתק עילה" להוכיח, כי יש זהות בין בעלי-הדין או חליפיהם (למשל שולח ושלוח או מוריש ויורש)... השתק פלוגתא מקים מחסום דיוני לבעל-דין המבקש לשוב ולהתדיין בשאלה עובדתית מסוימת שכבר נדונה בין בעלי-הדין בהתדיינות קודמת אם מתקיימים ארבעה תנאים, והם:</w:t>
      </w:r>
    </w:p>
    <w:p w:rsidR="00311DDA" w:rsidRDefault="00311DDA" w:rsidP="00311DDA">
      <w:pPr>
        <w:pStyle w:val="a9"/>
        <w:spacing w:after="0" w:line="360" w:lineRule="auto"/>
        <w:ind w:left="1133" w:right="1134"/>
        <w:jc w:val="both"/>
        <w:rPr>
          <w:rFonts w:ascii="David" w:hAnsi="David" w:cs="David"/>
          <w:i/>
          <w:iCs/>
          <w:sz w:val="24"/>
          <w:szCs w:val="24"/>
          <w:rtl/>
        </w:rPr>
      </w:pPr>
      <w:r>
        <w:rPr>
          <w:rFonts w:ascii="David" w:hAnsi="David" w:cs="David"/>
          <w:i/>
          <w:iCs/>
          <w:sz w:val="24"/>
          <w:szCs w:val="24"/>
          <w:rtl/>
        </w:rPr>
        <w:t>א. הפלוגתא העולה בכל אחת מההתדיינויות היא אכן אותה פלוגתא, על רכיביה העובדתיים והמשפטיים.</w:t>
      </w:r>
    </w:p>
    <w:p w:rsidR="00311DDA" w:rsidRDefault="00311DDA" w:rsidP="00311DDA">
      <w:pPr>
        <w:pStyle w:val="a9"/>
        <w:spacing w:after="0" w:line="360" w:lineRule="auto"/>
        <w:ind w:left="1133" w:right="1134"/>
        <w:jc w:val="both"/>
        <w:rPr>
          <w:rFonts w:ascii="David" w:hAnsi="David" w:cs="David"/>
          <w:i/>
          <w:iCs/>
          <w:sz w:val="24"/>
          <w:szCs w:val="24"/>
          <w:rtl/>
        </w:rPr>
      </w:pPr>
      <w:r>
        <w:rPr>
          <w:rFonts w:ascii="David" w:hAnsi="David" w:cs="David"/>
          <w:i/>
          <w:iCs/>
          <w:sz w:val="24"/>
          <w:szCs w:val="24"/>
          <w:rtl/>
        </w:rPr>
        <w:t>ב. קוים דיון בין הצדדים באותה פלוגתא במסגרת ההתדיינות הראשונה, ולצד שנגדו מועלית טענת השתק בהתדיינות השנייה היה יומו בבית-המשפט ביחס לאותה פלוגתא.</w:t>
      </w:r>
    </w:p>
    <w:p w:rsidR="00311DDA" w:rsidRDefault="00311DDA" w:rsidP="00311DDA">
      <w:pPr>
        <w:pStyle w:val="a9"/>
        <w:spacing w:after="0" w:line="360" w:lineRule="auto"/>
        <w:ind w:left="1133" w:right="1134"/>
        <w:jc w:val="both"/>
        <w:rPr>
          <w:rFonts w:ascii="David" w:hAnsi="David" w:cs="David"/>
          <w:i/>
          <w:iCs/>
          <w:sz w:val="24"/>
          <w:szCs w:val="24"/>
          <w:rtl/>
        </w:rPr>
      </w:pPr>
      <w:r>
        <w:rPr>
          <w:rFonts w:ascii="David" w:hAnsi="David" w:cs="David"/>
          <w:i/>
          <w:iCs/>
          <w:sz w:val="24"/>
          <w:szCs w:val="24"/>
          <w:rtl/>
        </w:rPr>
        <w:t>ג. ההתדיינות הסתיימה בהכרעה מפורשת או מכללא של בית-המשפט באותה פלוגתא, בקביעת מימצא פוזיטיבי, להבדיל ממימצא הנובע מהיעדר הוכחה.</w:t>
      </w:r>
    </w:p>
    <w:p w:rsidR="00311DDA" w:rsidRDefault="00311DDA" w:rsidP="00311DDA">
      <w:pPr>
        <w:pStyle w:val="a9"/>
        <w:spacing w:after="0" w:line="360" w:lineRule="auto"/>
        <w:ind w:left="1133" w:right="1134"/>
        <w:jc w:val="both"/>
        <w:rPr>
          <w:rFonts w:ascii="David" w:hAnsi="David" w:cs="David"/>
          <w:i/>
          <w:iCs/>
          <w:sz w:val="24"/>
          <w:szCs w:val="24"/>
          <w:rtl/>
        </w:rPr>
      </w:pPr>
      <w:r>
        <w:rPr>
          <w:rFonts w:ascii="David" w:hAnsi="David" w:cs="David"/>
          <w:i/>
          <w:iCs/>
          <w:sz w:val="24"/>
          <w:szCs w:val="24"/>
          <w:rtl/>
        </w:rPr>
        <w:t>ד. ההכרעה הייתה חיונית לצורך פסק-הדין שניתן בתובענה הראשונה".</w:t>
      </w:r>
    </w:p>
    <w:p w:rsidR="00311DDA" w:rsidRDefault="00311DDA" w:rsidP="00311DDA">
      <w:pPr>
        <w:spacing w:line="360" w:lineRule="auto"/>
        <w:ind w:left="360" w:firstLine="360"/>
        <w:jc w:val="both"/>
        <w:rPr>
          <w:rFonts w:ascii="David" w:hAnsi="David"/>
          <w:rtl/>
        </w:rPr>
      </w:pPr>
      <w:r>
        <w:rPr>
          <w:rFonts w:ascii="David" w:hAnsi="David"/>
          <w:b/>
          <w:bCs/>
          <w:rtl/>
        </w:rPr>
        <w:t>ראו גם</w:t>
      </w:r>
      <w:r>
        <w:rPr>
          <w:rFonts w:ascii="David" w:hAnsi="David"/>
          <w:rtl/>
        </w:rPr>
        <w:t>: ת"ע 55994-10-21</w:t>
      </w:r>
      <w:r>
        <w:rPr>
          <w:rFonts w:ascii="David" w:hAnsi="David"/>
          <w:b/>
          <w:bCs/>
          <w:rtl/>
        </w:rPr>
        <w:t xml:space="preserve"> ג' ז"ל נ' האפוטרופוס הכללי מחוז חיפה והצפון </w:t>
      </w:r>
      <w:r>
        <w:rPr>
          <w:rFonts w:ascii="David" w:hAnsi="David"/>
          <w:rtl/>
        </w:rPr>
        <w:t>(12.12.2022).</w:t>
      </w:r>
    </w:p>
    <w:p w:rsidR="00311DDA" w:rsidRDefault="00311DDA" w:rsidP="00311DDA">
      <w:pPr>
        <w:pStyle w:val="a9"/>
        <w:spacing w:after="0" w:line="360" w:lineRule="auto"/>
        <w:jc w:val="both"/>
        <w:rPr>
          <w:rFonts w:ascii="David" w:hAnsi="David" w:cs="David"/>
          <w:sz w:val="24"/>
          <w:szCs w:val="24"/>
          <w:rtl/>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במקרה שלפניי החלטת בית המשפט המחוזי, אינה מהווה מעשה בית דין. בהחלטה זו נקבע, בין היתר, כי:</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spacing w:line="360" w:lineRule="auto"/>
        <w:ind w:left="1133" w:right="1134"/>
        <w:jc w:val="both"/>
        <w:rPr>
          <w:rFonts w:ascii="David" w:hAnsi="David" w:cs="David"/>
          <w:i/>
          <w:iCs/>
          <w:sz w:val="24"/>
          <w:szCs w:val="24"/>
          <w:rtl/>
        </w:rPr>
      </w:pPr>
      <w:r>
        <w:rPr>
          <w:rFonts w:ascii="David" w:hAnsi="David" w:cs="David"/>
          <w:i/>
          <w:iCs/>
          <w:sz w:val="24"/>
          <w:szCs w:val="24"/>
          <w:rtl/>
        </w:rPr>
        <w:t>"בפסק-דינו של בית המשפט קמא מיום 20.12.2021 קיימת התייחסות מפורשת – כבר בפתח פסק-הדין – להסכמים שבגדרם נחתם תצהיר ההסתלקות, לאמור:</w:t>
      </w:r>
    </w:p>
    <w:p w:rsidR="00311DDA" w:rsidRDefault="00311DDA" w:rsidP="00311DDA">
      <w:pPr>
        <w:pStyle w:val="a9"/>
        <w:spacing w:line="360" w:lineRule="auto"/>
        <w:ind w:left="1133" w:right="1134"/>
        <w:jc w:val="both"/>
        <w:rPr>
          <w:rFonts w:ascii="David" w:hAnsi="David" w:cs="David"/>
          <w:i/>
          <w:iCs/>
          <w:sz w:val="24"/>
          <w:szCs w:val="24"/>
        </w:rPr>
      </w:pPr>
    </w:p>
    <w:p w:rsidR="00311DDA" w:rsidRDefault="00311DDA" w:rsidP="00311DDA">
      <w:pPr>
        <w:pStyle w:val="a9"/>
        <w:spacing w:after="0" w:line="360" w:lineRule="auto"/>
        <w:ind w:left="1133" w:right="1134"/>
        <w:jc w:val="both"/>
        <w:rPr>
          <w:rFonts w:ascii="David" w:hAnsi="David" w:cs="David"/>
          <w:i/>
          <w:iCs/>
          <w:sz w:val="24"/>
          <w:szCs w:val="24"/>
        </w:rPr>
      </w:pPr>
      <w:r>
        <w:rPr>
          <w:rFonts w:ascii="David" w:hAnsi="David" w:cs="David"/>
          <w:i/>
          <w:iCs/>
          <w:sz w:val="24"/>
          <w:szCs w:val="24"/>
          <w:rtl/>
        </w:rPr>
        <w:t>"שני הצדדים העלו טענות לא מעטות ביחס לשני הסכמים שנערכו בין הצדדים לחלוקת עיזבון המנוחה... מבלי להביע עמדה בסוגיית תוקפם של ההסכמים, בשים לב לעובדה שהם נערכו לפני קביעת זהות היורשים ולא זכו לאישור של ערכאה משפטית מוסמכת, סוגיית ביטול ההסכמים לא תידון במסגרת ההליכים דנן (הבקשה למתן צו ירושה וההתנגדות לה), שמטרתם לקבוע את זהות היורשים ותו לא" (פסקה 1 לפסק-הדין).</w:t>
      </w:r>
    </w:p>
    <w:p w:rsidR="00311DDA" w:rsidRDefault="00311DDA" w:rsidP="00311DDA">
      <w:pPr>
        <w:pStyle w:val="a9"/>
        <w:spacing w:after="0" w:line="360" w:lineRule="auto"/>
        <w:ind w:left="1133" w:right="1134"/>
        <w:jc w:val="both"/>
        <w:rPr>
          <w:rFonts w:ascii="David" w:hAnsi="David" w:cs="David"/>
          <w:i/>
          <w:iCs/>
          <w:sz w:val="24"/>
          <w:szCs w:val="24"/>
        </w:rPr>
      </w:pPr>
    </w:p>
    <w:p w:rsidR="00311DDA" w:rsidRDefault="00311DDA" w:rsidP="00311DDA">
      <w:pPr>
        <w:spacing w:line="360" w:lineRule="auto"/>
        <w:ind w:left="1133" w:right="1134"/>
        <w:jc w:val="both"/>
        <w:rPr>
          <w:rFonts w:ascii="David" w:hAnsi="David"/>
          <w:i/>
          <w:iCs/>
          <w:rtl/>
        </w:rPr>
      </w:pPr>
      <w:r>
        <w:rPr>
          <w:rFonts w:ascii="David" w:hAnsi="David"/>
          <w:i/>
          <w:iCs/>
          <w:rtl/>
        </w:rPr>
        <w:t xml:space="preserve">הנה כי כן, בית המשפט קמא הבהיר בפסק-דינו במפורש כי הוא אינו נדרש לסוגיית תוקפם של ההסכמים שבגדרם נחתם תצהיר ההסתלקות, וכי מטרת פסק-הדין היא אך לקבוע את זהות היורשים ותו לא. </w:t>
      </w:r>
    </w:p>
    <w:p w:rsidR="00311DDA" w:rsidRDefault="00311DDA" w:rsidP="00311DDA">
      <w:pPr>
        <w:pStyle w:val="a9"/>
        <w:spacing w:after="0" w:line="360" w:lineRule="auto"/>
        <w:ind w:left="1133" w:right="1134"/>
        <w:jc w:val="both"/>
        <w:rPr>
          <w:rFonts w:ascii="David" w:hAnsi="David" w:cs="David"/>
          <w:i/>
          <w:iCs/>
          <w:sz w:val="24"/>
          <w:szCs w:val="24"/>
          <w:rtl/>
        </w:rPr>
      </w:pPr>
    </w:p>
    <w:p w:rsidR="00311DDA" w:rsidRDefault="00311DDA" w:rsidP="00311DDA">
      <w:pPr>
        <w:spacing w:line="360" w:lineRule="auto"/>
        <w:ind w:left="1133" w:right="1134"/>
        <w:jc w:val="both"/>
        <w:rPr>
          <w:rFonts w:ascii="David" w:hAnsi="David"/>
          <w:i/>
          <w:iCs/>
          <w:rtl/>
        </w:rPr>
      </w:pPr>
      <w:r>
        <w:rPr>
          <w:rFonts w:ascii="David" w:hAnsi="David"/>
          <w:i/>
          <w:iCs/>
          <w:rtl/>
        </w:rPr>
        <w:t>משעה שבית המשפט קמא הבהיר בפסק-דינו כי הוא אינו מכריע בטענות הצדדים בנוגע לתוקפם של ההסכמים, היינו הוא אינו מכריע בתוקפו של תצהיר ההסתלקות המהווה חלק מההסכמים, אזי לא ניתן לקבל שבפסק-הדין נקבע, כביכול, שהתצהיר תקף, ולא ניתן לקבל שבפסק-הדין נקבע שחלקו של המבקש בעיזבון הוא כדי 65%."</w:t>
      </w:r>
    </w:p>
    <w:p w:rsidR="00311DDA" w:rsidRDefault="00311DDA" w:rsidP="00311DDA">
      <w:pPr>
        <w:pStyle w:val="a9"/>
        <w:spacing w:after="0" w:line="360" w:lineRule="auto"/>
        <w:ind w:left="1133" w:right="1134"/>
        <w:jc w:val="both"/>
        <w:rPr>
          <w:rFonts w:ascii="David" w:hAnsi="David" w:cs="David"/>
          <w:i/>
          <w:iCs/>
          <w:sz w:val="24"/>
          <w:szCs w:val="24"/>
        </w:rPr>
      </w:pPr>
    </w:p>
    <w:p w:rsidR="00311DDA" w:rsidRDefault="00311DDA" w:rsidP="00311DDA">
      <w:pPr>
        <w:pStyle w:val="1"/>
        <w:numPr>
          <w:ilvl w:val="0"/>
          <w:numId w:val="1"/>
        </w:numPr>
        <w:spacing w:line="360" w:lineRule="auto"/>
        <w:jc w:val="both"/>
        <w:rPr>
          <w:rFonts w:ascii="David" w:eastAsiaTheme="minorHAnsi" w:hAnsi="David"/>
        </w:rPr>
      </w:pPr>
      <w:r>
        <w:rPr>
          <w:rFonts w:ascii="David" w:eastAsiaTheme="minorHAnsi" w:hAnsi="David"/>
          <w:u w:val="single"/>
          <w:rtl/>
        </w:rPr>
        <w:t>ראשית</w:t>
      </w:r>
      <w:r>
        <w:rPr>
          <w:rFonts w:ascii="David" w:eastAsiaTheme="minorHAnsi" w:hAnsi="David"/>
          <w:rtl/>
        </w:rPr>
        <w:t xml:space="preserve">, בשים לב להוראת פסק הדין אשר לפיה </w:t>
      </w:r>
      <w:r>
        <w:rPr>
          <w:rFonts w:ascii="David" w:hAnsi="David"/>
          <w:rtl/>
        </w:rPr>
        <w:t>סוגיית ביטול ההסכמים לא נדונה במסגרת ההליכים הקודמים,</w:t>
      </w:r>
      <w:r>
        <w:rPr>
          <w:rFonts w:ascii="David" w:eastAsiaTheme="minorHAnsi" w:hAnsi="David"/>
          <w:rtl/>
        </w:rPr>
        <w:t xml:space="preserve"> בית המשפט המחוזי לא דן בטענת התובע לגופה. במילים אחרות, לא יצאה תחת ידו של בית המשפט המחוזי קביעה אשר מהווה מעשה בית דין.</w:t>
      </w:r>
    </w:p>
    <w:p w:rsidR="00311DDA" w:rsidRDefault="00311DDA" w:rsidP="00311DDA">
      <w:pPr>
        <w:pStyle w:val="1"/>
        <w:spacing w:line="360" w:lineRule="auto"/>
        <w:jc w:val="both"/>
        <w:rPr>
          <w:rFonts w:ascii="David" w:eastAsiaTheme="minorHAnsi" w:hAnsi="David"/>
        </w:rPr>
      </w:pPr>
    </w:p>
    <w:p w:rsidR="00311DDA" w:rsidRDefault="00311DDA" w:rsidP="00311DDA">
      <w:pPr>
        <w:pStyle w:val="1"/>
        <w:numPr>
          <w:ilvl w:val="0"/>
          <w:numId w:val="1"/>
        </w:numPr>
        <w:spacing w:line="360" w:lineRule="auto"/>
        <w:jc w:val="both"/>
        <w:rPr>
          <w:rFonts w:ascii="David" w:eastAsiaTheme="minorHAnsi" w:hAnsi="David"/>
        </w:rPr>
      </w:pPr>
      <w:r>
        <w:rPr>
          <w:rFonts w:ascii="David" w:eastAsiaTheme="minorHAnsi" w:hAnsi="David"/>
          <w:u w:val="single"/>
          <w:rtl/>
        </w:rPr>
        <w:t>שנית</w:t>
      </w:r>
      <w:r>
        <w:rPr>
          <w:rFonts w:ascii="David" w:eastAsiaTheme="minorHAnsi" w:hAnsi="David"/>
          <w:rtl/>
        </w:rPr>
        <w:t>, בית המשפט המחוזי "פתח פתח" להתדיינות נוספת בעניין תוקף ההסכם ותצהיר ההסתלקות ומשכך קביעתו אינה מהווה מעשה בית דין.</w:t>
      </w:r>
    </w:p>
    <w:p w:rsidR="00311DDA" w:rsidRDefault="00311DDA" w:rsidP="00311DDA">
      <w:pPr>
        <w:pStyle w:val="a9"/>
        <w:spacing w:after="0" w:line="360" w:lineRule="auto"/>
        <w:jc w:val="both"/>
        <w:rPr>
          <w:rFonts w:ascii="David" w:hAnsi="David" w:cs="David"/>
          <w:sz w:val="24"/>
          <w:szCs w:val="24"/>
          <w:rtl/>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לאור האמור, אני דוחה את הטענה כי לאור החלטת בית המשפט המחוזי קיים מעשה בית דין.</w:t>
      </w:r>
    </w:p>
    <w:p w:rsidR="00311DDA" w:rsidRDefault="00311DDA" w:rsidP="00311DDA">
      <w:pPr>
        <w:spacing w:line="360" w:lineRule="auto"/>
        <w:jc w:val="both"/>
        <w:rPr>
          <w:rFonts w:ascii="David" w:hAnsi="David"/>
          <w:u w:val="single"/>
        </w:rPr>
      </w:pPr>
    </w:p>
    <w:p w:rsidR="00311DDA" w:rsidRDefault="00311DDA" w:rsidP="00311DDA">
      <w:pPr>
        <w:spacing w:line="360" w:lineRule="auto"/>
        <w:jc w:val="both"/>
        <w:rPr>
          <w:rFonts w:ascii="David" w:hAnsi="David"/>
          <w:u w:val="single"/>
          <w:rtl/>
        </w:rPr>
      </w:pPr>
      <w:r>
        <w:rPr>
          <w:rFonts w:ascii="David" w:hAnsi="David"/>
          <w:u w:val="single"/>
          <w:rtl/>
        </w:rPr>
        <w:lastRenderedPageBreak/>
        <w:t>תוקפו של תצהיר ההסתלקות</w:t>
      </w:r>
    </w:p>
    <w:p w:rsidR="00311DDA" w:rsidRDefault="00311DDA" w:rsidP="00311DDA">
      <w:pPr>
        <w:pStyle w:val="a9"/>
        <w:spacing w:line="360" w:lineRule="auto"/>
        <w:rPr>
          <w:rFonts w:ascii="David" w:hAnsi="David" w:cs="David"/>
          <w:sz w:val="24"/>
          <w:szCs w:val="24"/>
        </w:rPr>
      </w:pPr>
    </w:p>
    <w:p w:rsidR="00311DDA" w:rsidRPr="00871141" w:rsidRDefault="00311DDA" w:rsidP="00311DDA">
      <w:pPr>
        <w:pStyle w:val="1"/>
        <w:numPr>
          <w:ilvl w:val="0"/>
          <w:numId w:val="1"/>
        </w:numPr>
        <w:spacing w:line="360" w:lineRule="auto"/>
        <w:jc w:val="both"/>
        <w:rPr>
          <w:rFonts w:ascii="David" w:eastAsiaTheme="minorHAnsi" w:hAnsi="David"/>
          <w:noProof w:val="0"/>
          <w:rtl/>
        </w:rPr>
      </w:pPr>
      <w:r w:rsidRPr="00BD0303">
        <w:rPr>
          <w:rFonts w:ascii="David" w:eastAsiaTheme="minorHAnsi" w:hAnsi="David"/>
          <w:rtl/>
        </w:rPr>
        <w:t>סעיף 6</w:t>
      </w:r>
      <w:r w:rsidRPr="00871141">
        <w:rPr>
          <w:rFonts w:ascii="David" w:eastAsiaTheme="minorHAnsi" w:hAnsi="David"/>
          <w:noProof w:val="0"/>
          <w:rtl/>
        </w:rPr>
        <w:t xml:space="preserve"> ל</w:t>
      </w:r>
      <w:r w:rsidRPr="00BD0303">
        <w:rPr>
          <w:rFonts w:ascii="David" w:eastAsiaTheme="minorHAnsi" w:hAnsi="David"/>
          <w:noProof w:val="0"/>
          <w:rtl/>
        </w:rPr>
        <w:t>חוק הירושה</w:t>
      </w:r>
      <w:r w:rsidRPr="00871141">
        <w:rPr>
          <w:rFonts w:ascii="David" w:eastAsiaTheme="minorHAnsi" w:hAnsi="David"/>
          <w:noProof w:val="0"/>
          <w:rtl/>
        </w:rPr>
        <w:t xml:space="preserve"> קובע כדלקמן:</w:t>
      </w:r>
    </w:p>
    <w:p w:rsidR="00311DDA" w:rsidRDefault="00311DDA" w:rsidP="00311DDA">
      <w:pPr>
        <w:pStyle w:val="1"/>
        <w:spacing w:line="360" w:lineRule="auto"/>
        <w:jc w:val="both"/>
        <w:rPr>
          <w:rFonts w:ascii="David" w:eastAsiaTheme="minorHAnsi" w:hAnsi="David"/>
          <w:noProof w:val="0"/>
        </w:rPr>
      </w:pPr>
    </w:p>
    <w:p w:rsidR="00311DDA" w:rsidRDefault="00311DDA" w:rsidP="00311DDA">
      <w:pPr>
        <w:spacing w:line="360" w:lineRule="auto"/>
        <w:ind w:left="1700" w:right="1134" w:hanging="567"/>
        <w:jc w:val="both"/>
        <w:rPr>
          <w:rFonts w:ascii="David" w:eastAsiaTheme="minorHAnsi" w:hAnsi="David"/>
          <w:b/>
          <w:bCs/>
          <w:noProof w:val="0"/>
        </w:rPr>
      </w:pPr>
      <w:r>
        <w:rPr>
          <w:rFonts w:ascii="David" w:hAnsi="David"/>
          <w:b/>
          <w:bCs/>
          <w:rtl/>
        </w:rPr>
        <w:t>"(א)</w:t>
      </w:r>
      <w:r>
        <w:rPr>
          <w:rFonts w:ascii="David" w:hAnsi="David"/>
          <w:b/>
          <w:bCs/>
          <w:rtl/>
        </w:rPr>
        <w:tab/>
        <w:t>לאחר מות המוריש וכל עוד לא חולק העזבון רשאי יורש, בהודעה בכתב לרשם לעניני ירושה, או לבית המשפט כאשר הענין הועבר אליו לפי סעיף 67א, להסתלק מחלקו בעזבון, כולו או מקצתו, או ממנה שהוא זכאי לה על פי צוואה, כולה או מקצתה.</w:t>
      </w:r>
    </w:p>
    <w:p w:rsidR="00311DDA" w:rsidRDefault="00311DDA" w:rsidP="00311DDA">
      <w:pPr>
        <w:spacing w:line="360" w:lineRule="auto"/>
        <w:ind w:left="1700" w:right="1134" w:hanging="567"/>
        <w:jc w:val="both"/>
        <w:rPr>
          <w:rFonts w:ascii="David" w:hAnsi="David"/>
          <w:b/>
          <w:bCs/>
          <w:rtl/>
        </w:rPr>
      </w:pPr>
      <w:r>
        <w:rPr>
          <w:rFonts w:ascii="David" w:hAnsi="David"/>
          <w:b/>
          <w:bCs/>
          <w:rtl/>
        </w:rPr>
        <w:t xml:space="preserve"> (ב)</w:t>
      </w:r>
      <w:r>
        <w:rPr>
          <w:rFonts w:ascii="David" w:hAnsi="David"/>
          <w:b/>
          <w:bCs/>
          <w:rtl/>
        </w:rPr>
        <w:tab/>
        <w:t>מי שהסתלק מחלקו בעזבון, רואים אותו במידה שהסתלק כאילו לא היה יורש מלכתחילה; אין הסתלקות לטובת אדם אחר, אלא לטובת בן-זוגו, ילדו או אחיו של המוריש.</w:t>
      </w:r>
    </w:p>
    <w:p w:rsidR="00311DDA" w:rsidRDefault="00311DDA" w:rsidP="00311DDA">
      <w:pPr>
        <w:spacing w:line="360" w:lineRule="auto"/>
        <w:ind w:left="1700" w:right="1134" w:hanging="567"/>
        <w:jc w:val="both"/>
        <w:rPr>
          <w:rFonts w:ascii="David" w:hAnsi="David"/>
          <w:b/>
          <w:bCs/>
          <w:rtl/>
        </w:rPr>
      </w:pPr>
      <w:r>
        <w:rPr>
          <w:rFonts w:ascii="David" w:hAnsi="David"/>
          <w:b/>
          <w:bCs/>
          <w:rtl/>
        </w:rPr>
        <w:t>(ג)</w:t>
      </w:r>
      <w:r>
        <w:rPr>
          <w:rFonts w:ascii="David" w:hAnsi="David"/>
          <w:b/>
          <w:bCs/>
          <w:rtl/>
        </w:rPr>
        <w:tab/>
        <w:t>הסתלקות של קטין ושל מי שהוכרז פסול-דין טעונה אישור בית המשפט.</w:t>
      </w:r>
    </w:p>
    <w:p w:rsidR="00311DDA" w:rsidRDefault="00311DDA" w:rsidP="00311DDA">
      <w:pPr>
        <w:spacing w:line="360" w:lineRule="auto"/>
        <w:ind w:left="1700" w:right="1134" w:hanging="567"/>
        <w:jc w:val="both"/>
        <w:rPr>
          <w:rFonts w:ascii="David" w:hAnsi="David"/>
          <w:b/>
          <w:bCs/>
          <w:rtl/>
        </w:rPr>
      </w:pPr>
      <w:r>
        <w:rPr>
          <w:rFonts w:ascii="David" w:hAnsi="David"/>
          <w:b/>
          <w:bCs/>
          <w:rtl/>
        </w:rPr>
        <w:t>(ד)</w:t>
      </w:r>
      <w:r>
        <w:rPr>
          <w:rFonts w:ascii="David" w:hAnsi="David"/>
          <w:b/>
          <w:bCs/>
          <w:rtl/>
        </w:rPr>
        <w:tab/>
        <w:t>הסתלקות על תנאי – בטלה".</w:t>
      </w:r>
    </w:p>
    <w:p w:rsidR="00311DDA" w:rsidRDefault="00311DDA" w:rsidP="00311DDA">
      <w:pPr>
        <w:pStyle w:val="1"/>
        <w:numPr>
          <w:ilvl w:val="0"/>
          <w:numId w:val="1"/>
        </w:numPr>
        <w:spacing w:before="240" w:after="240" w:line="360" w:lineRule="auto"/>
        <w:jc w:val="both"/>
        <w:rPr>
          <w:rFonts w:ascii="David" w:hAnsi="David"/>
          <w:noProof w:val="0"/>
          <w:rtl/>
        </w:rPr>
      </w:pPr>
      <w:r w:rsidRPr="00BD0303">
        <w:rPr>
          <w:rFonts w:ascii="David" w:hAnsi="David"/>
          <w:noProof w:val="0"/>
          <w:rtl/>
        </w:rPr>
        <w:t>תקנה 16</w:t>
      </w:r>
      <w:r w:rsidRPr="00871141">
        <w:rPr>
          <w:rFonts w:ascii="David" w:hAnsi="David"/>
          <w:noProof w:val="0"/>
          <w:rtl/>
        </w:rPr>
        <w:t xml:space="preserve"> ל</w:t>
      </w:r>
      <w:r w:rsidRPr="00BD0303">
        <w:rPr>
          <w:rFonts w:ascii="David" w:hAnsi="David"/>
          <w:noProof w:val="0"/>
          <w:rtl/>
        </w:rPr>
        <w:t>תקנות הירושה</w:t>
      </w:r>
      <w:r w:rsidRPr="00871141">
        <w:rPr>
          <w:rFonts w:ascii="David" w:hAnsi="David"/>
          <w:noProof w:val="0"/>
          <w:rtl/>
        </w:rPr>
        <w:t>, התשנ"ח–1998 (להלן: "</w:t>
      </w:r>
      <w:r w:rsidRPr="00871141">
        <w:rPr>
          <w:rFonts w:ascii="David" w:hAnsi="David"/>
          <w:b/>
          <w:bCs/>
          <w:noProof w:val="0"/>
          <w:rtl/>
        </w:rPr>
        <w:t>תקנות הירושה</w:t>
      </w:r>
      <w:r w:rsidRPr="00871141">
        <w:rPr>
          <w:rFonts w:ascii="David" w:hAnsi="David"/>
          <w:noProof w:val="0"/>
          <w:rtl/>
        </w:rPr>
        <w:t xml:space="preserve">") קובעת, כי על הודעת </w:t>
      </w:r>
      <w:r>
        <w:rPr>
          <w:rFonts w:ascii="David" w:hAnsi="David"/>
          <w:noProof w:val="0"/>
          <w:rtl/>
        </w:rPr>
        <w:t>ההסתלקות להיעשות באמצעות תצהיר:</w:t>
      </w:r>
    </w:p>
    <w:p w:rsidR="00311DDA" w:rsidRDefault="00311DDA" w:rsidP="00311DDA">
      <w:pPr>
        <w:spacing w:line="360" w:lineRule="auto"/>
        <w:ind w:left="1700" w:right="1134" w:hanging="567"/>
        <w:jc w:val="both"/>
        <w:rPr>
          <w:rFonts w:ascii="David" w:hAnsi="David"/>
          <w:b/>
          <w:bCs/>
          <w:noProof w:val="0"/>
        </w:rPr>
      </w:pPr>
      <w:r>
        <w:rPr>
          <w:rFonts w:ascii="David" w:hAnsi="David"/>
          <w:b/>
          <w:bCs/>
          <w:rtl/>
        </w:rPr>
        <w:t>" (א) המסתלק מחלקו בעזבון יגיש הודעת הסתלקות לרשם לעניני ירושה או לבית המשפט כשהענין הועבר אליו לפי סעיף 67א לחוק</w:t>
      </w:r>
      <w:r>
        <w:rPr>
          <w:rFonts w:ascii="David" w:hAnsi="David"/>
          <w:b/>
          <w:bCs/>
        </w:rPr>
        <w:t>.</w:t>
      </w:r>
    </w:p>
    <w:p w:rsidR="00311DDA" w:rsidRDefault="00311DDA" w:rsidP="00311DDA">
      <w:pPr>
        <w:spacing w:line="360" w:lineRule="auto"/>
        <w:ind w:left="1700" w:right="1134" w:hanging="567"/>
        <w:jc w:val="both"/>
        <w:rPr>
          <w:rFonts w:ascii="David" w:hAnsi="David"/>
          <w:rtl/>
        </w:rPr>
      </w:pPr>
      <w:r>
        <w:rPr>
          <w:rFonts w:ascii="David" w:hAnsi="David"/>
          <w:b/>
          <w:bCs/>
          <w:rtl/>
        </w:rPr>
        <w:t>(ב)  בהודעת הסתלקות יפורטו פרטי זהותו של המסתלק, שיעור ההסתלקות, ואם הסתלק לטובת בן-זוגו של המוריש, ילדו או אחיו, יציין במפורש לטובת מי הסתלק; הודעת ההסתלקות תהיה בתצהיר.</w:t>
      </w:r>
    </w:p>
    <w:p w:rsidR="009E1DC3" w:rsidRPr="009E1DC3" w:rsidRDefault="009E1DC3" w:rsidP="00311DDA">
      <w:pPr>
        <w:spacing w:line="360" w:lineRule="auto"/>
        <w:ind w:left="1700" w:right="1134" w:hanging="567"/>
        <w:jc w:val="both"/>
        <w:rPr>
          <w:rFonts w:ascii="David" w:hAnsi="David"/>
          <w:rtl/>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המועד להגשת תצהירי ההסתלקות הוגבל בחוק. יורש רשאי להסתלק מזכותו בעיזבון רק במהלך תקופה מסוימת, קרי ממועד מות המוריש עד למועד חלוקת העיזבון </w:t>
      </w:r>
      <w:r>
        <w:rPr>
          <w:rFonts w:ascii="David" w:hAnsi="David" w:cs="David"/>
          <w:b/>
          <w:bCs/>
          <w:sz w:val="24"/>
          <w:szCs w:val="24"/>
          <w:rtl/>
        </w:rPr>
        <w:t>ראו</w:t>
      </w:r>
      <w:r>
        <w:rPr>
          <w:rFonts w:ascii="David" w:hAnsi="David" w:cs="David"/>
          <w:sz w:val="24"/>
          <w:szCs w:val="24"/>
          <w:rtl/>
        </w:rPr>
        <w:t xml:space="preserve">: תמ"ש 53504-03-18 </w:t>
      </w:r>
      <w:r>
        <w:rPr>
          <w:rFonts w:ascii="David" w:hAnsi="David" w:cs="David"/>
          <w:b/>
          <w:bCs/>
          <w:sz w:val="24"/>
          <w:szCs w:val="24"/>
          <w:rtl/>
        </w:rPr>
        <w:t xml:space="preserve">ד' ר' נ' צ' א' </w:t>
      </w:r>
      <w:r>
        <w:rPr>
          <w:rFonts w:ascii="David" w:hAnsi="David" w:cs="David"/>
          <w:sz w:val="24"/>
          <w:szCs w:val="24"/>
          <w:rtl/>
        </w:rPr>
        <w:t>(7.3.2022).</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תנאי מהותי להשתכללותה של הודעת הסתלקות, הוא הגשתה לרשם לענייני ירושה, או לבית המשפט (לפי העניין) </w:t>
      </w:r>
      <w:r>
        <w:rPr>
          <w:rFonts w:ascii="David" w:hAnsi="David" w:cs="David"/>
          <w:b/>
          <w:bCs/>
          <w:sz w:val="24"/>
          <w:szCs w:val="24"/>
          <w:rtl/>
        </w:rPr>
        <w:t>ראו</w:t>
      </w:r>
      <w:r>
        <w:rPr>
          <w:rFonts w:ascii="David" w:hAnsi="David" w:cs="David"/>
          <w:sz w:val="24"/>
          <w:szCs w:val="24"/>
          <w:rtl/>
        </w:rPr>
        <w:t xml:space="preserve">: ת"ע 64095-01-20 </w:t>
      </w:r>
      <w:r>
        <w:rPr>
          <w:rFonts w:ascii="David" w:hAnsi="David" w:cs="David"/>
          <w:b/>
          <w:bCs/>
          <w:sz w:val="24"/>
          <w:szCs w:val="24"/>
          <w:rtl/>
        </w:rPr>
        <w:t xml:space="preserve">ל.א נ' האפוטרופוס הכללי </w:t>
      </w:r>
      <w:r>
        <w:rPr>
          <w:rFonts w:ascii="David" w:hAnsi="David" w:cs="David"/>
          <w:sz w:val="24"/>
          <w:szCs w:val="24"/>
          <w:rtl/>
        </w:rPr>
        <w:t>(3.11.2020).</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במקרה שלפניי אין מחלוקת כי תצהיר ההסתלקות הוגש לרשם לענייני ירושה בד בבד עם הגשת הבקשה המתוקנת לצו ירושה </w:t>
      </w:r>
      <w:r>
        <w:rPr>
          <w:rFonts w:ascii="David" w:hAnsi="David" w:cs="David"/>
          <w:b/>
          <w:bCs/>
          <w:sz w:val="24"/>
          <w:szCs w:val="24"/>
          <w:rtl/>
        </w:rPr>
        <w:t xml:space="preserve">ראו: ס' 11 לתביעה בעניין תצהיר ההסתלקות </w:t>
      </w:r>
      <w:r>
        <w:rPr>
          <w:rFonts w:ascii="David" w:hAnsi="David" w:cs="David"/>
          <w:sz w:val="24"/>
          <w:szCs w:val="24"/>
          <w:rtl/>
        </w:rPr>
        <w:t xml:space="preserve">שלא הוכחש על-ידי הנתבעת </w:t>
      </w:r>
      <w:r>
        <w:rPr>
          <w:rFonts w:ascii="David" w:hAnsi="David" w:cs="David"/>
          <w:b/>
          <w:bCs/>
          <w:sz w:val="24"/>
          <w:szCs w:val="24"/>
          <w:rtl/>
        </w:rPr>
        <w:t>בס' 38 לכתב ההגנה לתביעה זו</w:t>
      </w:r>
      <w:r>
        <w:rPr>
          <w:rFonts w:ascii="David" w:hAnsi="David" w:cs="David"/>
          <w:sz w:val="24"/>
          <w:szCs w:val="24"/>
          <w:rtl/>
        </w:rPr>
        <w:t>.</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משכך, יש לדחות את טענת הנתבעת כי לתצהיר ההסתלקות אין כל תוקף מפני שהוגש לרשם לענייני הירושה טרם מתן צו ירושה כדין </w:t>
      </w:r>
      <w:r>
        <w:rPr>
          <w:rFonts w:ascii="David" w:hAnsi="David" w:cs="David"/>
          <w:b/>
          <w:bCs/>
          <w:sz w:val="24"/>
          <w:szCs w:val="24"/>
          <w:rtl/>
        </w:rPr>
        <w:t>ראו: ס' 3, 13, 16 לכתב ההגנה לתביעה בעניין תצהיר ההסתלקות</w:t>
      </w:r>
      <w:r>
        <w:rPr>
          <w:rFonts w:ascii="David" w:hAnsi="David" w:cs="David"/>
          <w:sz w:val="24"/>
          <w:szCs w:val="24"/>
          <w:rtl/>
        </w:rPr>
        <w:t>, שכן:</w:t>
      </w:r>
    </w:p>
    <w:p w:rsidR="00311DDA" w:rsidRDefault="00311DDA" w:rsidP="00311DDA">
      <w:pPr>
        <w:pStyle w:val="a9"/>
        <w:spacing w:line="360" w:lineRule="auto"/>
        <w:rPr>
          <w:rFonts w:ascii="David" w:hAnsi="David" w:cs="David"/>
          <w:sz w:val="24"/>
          <w:szCs w:val="24"/>
        </w:rPr>
      </w:pPr>
    </w:p>
    <w:p w:rsidR="009E1DC3" w:rsidRDefault="00311DDA" w:rsidP="009E1DC3">
      <w:pPr>
        <w:pStyle w:val="a9"/>
        <w:spacing w:after="0" w:line="360" w:lineRule="auto"/>
        <w:ind w:left="1133" w:right="1134"/>
        <w:jc w:val="both"/>
        <w:rPr>
          <w:rFonts w:ascii="David" w:hAnsi="David" w:cs="David"/>
          <w:i/>
          <w:iCs/>
          <w:sz w:val="24"/>
          <w:szCs w:val="24"/>
          <w:rtl/>
        </w:rPr>
      </w:pPr>
      <w:r>
        <w:rPr>
          <w:rFonts w:ascii="David" w:hAnsi="David" w:cs="David"/>
          <w:i/>
          <w:iCs/>
          <w:sz w:val="24"/>
          <w:szCs w:val="24"/>
          <w:rtl/>
        </w:rPr>
        <w:t>"ההסתלקות נכנסת לתוקף מרגע שהגיש היורש את הודעת ההסתלקות כדין לרשם הירושה או לבית המשפט ומרגע זה, אין הוא יורש יותר. לעניין זה, אין נפקא מינה אם ניתן צו ירושה אם לאו או שההסתלקות לא אושרה על ידי הרשם לענייני ירושה או בית המשפט או שהעיזבון טרם עומד לחלוקה".</w:t>
      </w:r>
      <w:r w:rsidR="009E1DC3">
        <w:rPr>
          <w:rFonts w:ascii="David" w:hAnsi="David" w:cs="David" w:hint="cs"/>
          <w:i/>
          <w:iCs/>
          <w:sz w:val="24"/>
          <w:szCs w:val="24"/>
          <w:rtl/>
        </w:rPr>
        <w:t xml:space="preserve"> </w:t>
      </w:r>
    </w:p>
    <w:p w:rsidR="00311DDA" w:rsidRPr="009E1DC3" w:rsidRDefault="00311DDA" w:rsidP="009E1DC3">
      <w:pPr>
        <w:pStyle w:val="a9"/>
        <w:spacing w:after="0" w:line="360" w:lineRule="auto"/>
        <w:ind w:left="1133" w:right="1134"/>
        <w:jc w:val="both"/>
        <w:rPr>
          <w:rFonts w:ascii="David" w:hAnsi="David" w:cs="David"/>
          <w:i/>
          <w:iCs/>
          <w:sz w:val="24"/>
          <w:szCs w:val="24"/>
        </w:rPr>
      </w:pPr>
      <w:r w:rsidRPr="009E1DC3">
        <w:rPr>
          <w:rFonts w:ascii="David" w:hAnsi="David" w:cs="David"/>
          <w:b/>
          <w:bCs/>
          <w:sz w:val="24"/>
          <w:szCs w:val="24"/>
          <w:rtl/>
        </w:rPr>
        <w:t>ראו:</w:t>
      </w:r>
      <w:r w:rsidRPr="009E1DC3">
        <w:rPr>
          <w:rFonts w:ascii="David" w:hAnsi="David" w:cs="David"/>
          <w:sz w:val="24"/>
          <w:szCs w:val="24"/>
          <w:rtl/>
        </w:rPr>
        <w:t xml:space="preserve"> פרופ' שילה בספרו "פירוש לחוק הירושה, תשכ"ה – 1965", כרך 1, עמוד 79.</w:t>
      </w:r>
    </w:p>
    <w:p w:rsidR="00311DDA" w:rsidRDefault="00311DDA" w:rsidP="00311DDA">
      <w:pPr>
        <w:pStyle w:val="a9"/>
        <w:spacing w:line="360" w:lineRule="auto"/>
        <w:rPr>
          <w:rFonts w:ascii="David" w:hAnsi="David" w:cs="David"/>
          <w:sz w:val="24"/>
          <w:szCs w:val="24"/>
          <w:rtl/>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באופן דומה יש לדחות את טענת הנתבעת כי משעה שטרם ניתן צו ירושה קיימת לה זכות לחזור בה מההסתלקות </w:t>
      </w:r>
      <w:r>
        <w:rPr>
          <w:rFonts w:ascii="David" w:hAnsi="David" w:cs="David"/>
          <w:b/>
          <w:bCs/>
          <w:sz w:val="24"/>
          <w:szCs w:val="24"/>
          <w:rtl/>
        </w:rPr>
        <w:t>ראו: ס' 20 לכתב התביעה בעניין תצהיר ההסתלקות</w:t>
      </w:r>
      <w:r>
        <w:rPr>
          <w:rFonts w:ascii="David" w:hAnsi="David" w:cs="David"/>
          <w:sz w:val="24"/>
          <w:szCs w:val="24"/>
          <w:rtl/>
        </w:rPr>
        <w:t xml:space="preserve">. בספרם של שאול שוחט, נחום פינברג ויחזקאל פלומין </w:t>
      </w:r>
      <w:r>
        <w:rPr>
          <w:rFonts w:ascii="David" w:hAnsi="David" w:cs="David"/>
          <w:b/>
          <w:bCs/>
          <w:sz w:val="24"/>
          <w:szCs w:val="24"/>
          <w:rtl/>
        </w:rPr>
        <w:t>דיני ירושה ועיזבון</w:t>
      </w:r>
      <w:r>
        <w:rPr>
          <w:rFonts w:ascii="David" w:hAnsi="David" w:cs="David"/>
          <w:sz w:val="24"/>
          <w:szCs w:val="24"/>
          <w:rtl/>
        </w:rPr>
        <w:t xml:space="preserve"> (מהדורה שביעית, התשע"ד–2014) נכתב כי:</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spacing w:line="360" w:lineRule="auto"/>
        <w:ind w:left="1133" w:right="1134"/>
        <w:jc w:val="both"/>
        <w:rPr>
          <w:rFonts w:ascii="David" w:hAnsi="David"/>
          <w:b/>
          <w:bCs/>
        </w:rPr>
      </w:pPr>
      <w:r>
        <w:rPr>
          <w:rFonts w:ascii="David" w:hAnsi="David"/>
          <w:i/>
          <w:iCs/>
          <w:rtl/>
        </w:rPr>
        <w:t>"...משחתם המסתלק על תצהיר הסתלקות, יכול הוא לחזור בו כל עוד לא הוגש התצהיר לרשם הירושה או לבית משפט</w:t>
      </w:r>
      <w:r>
        <w:rPr>
          <w:rFonts w:ascii="David" w:hAnsi="David"/>
          <w:rtl/>
        </w:rPr>
        <w:t xml:space="preserve">" </w:t>
      </w:r>
      <w:r>
        <w:rPr>
          <w:rFonts w:ascii="David" w:hAnsi="David"/>
          <w:b/>
          <w:bCs/>
          <w:rtl/>
        </w:rPr>
        <w:t xml:space="preserve">ראו: עמ' 49 </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spacing w:after="0" w:line="360" w:lineRule="auto"/>
        <w:ind w:left="1133" w:right="1134"/>
        <w:jc w:val="both"/>
        <w:rPr>
          <w:rFonts w:ascii="David" w:hAnsi="David" w:cs="David"/>
          <w:sz w:val="24"/>
          <w:szCs w:val="24"/>
          <w:rtl/>
        </w:rPr>
      </w:pPr>
      <w:r>
        <w:rPr>
          <w:rFonts w:ascii="David" w:hAnsi="David" w:cs="David"/>
          <w:i/>
          <w:iCs/>
          <w:sz w:val="24"/>
          <w:szCs w:val="24"/>
          <w:rtl/>
        </w:rPr>
        <w:t xml:space="preserve">"המסתלק אינו יכול לחזור בו מהסתלקותו, משהסתלק, חדל הוא להיות בעל מעמד בעיזבון ונחשב הוא כאילו לא היה יורש..." </w:t>
      </w:r>
      <w:r>
        <w:rPr>
          <w:rFonts w:ascii="David" w:hAnsi="David" w:cs="David"/>
          <w:b/>
          <w:bCs/>
          <w:sz w:val="24"/>
          <w:szCs w:val="24"/>
          <w:rtl/>
        </w:rPr>
        <w:t>ראו: עמ' 51</w:t>
      </w:r>
      <w:r>
        <w:rPr>
          <w:rFonts w:ascii="David" w:hAnsi="David" w:cs="David"/>
          <w:sz w:val="24"/>
          <w:szCs w:val="24"/>
          <w:rtl/>
        </w:rPr>
        <w:t>.</w:t>
      </w:r>
    </w:p>
    <w:p w:rsidR="009E1DC3" w:rsidRDefault="009E1DC3" w:rsidP="00311DDA">
      <w:pPr>
        <w:pStyle w:val="a9"/>
        <w:spacing w:after="0" w:line="360" w:lineRule="auto"/>
        <w:ind w:left="1133" w:right="1134"/>
        <w:jc w:val="both"/>
        <w:rPr>
          <w:rFonts w:ascii="David" w:hAnsi="David" w:cs="David"/>
          <w:sz w:val="24"/>
          <w:szCs w:val="24"/>
          <w:rtl/>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יש לדחות את טענת הנתבעת כי דינו של תצהיר ההסתלקות בטלות מפני שתצהיר ההסתלקות מהווה חלק בלתי נפרד מההסכם ולא ניתן לחתום על הסכם חלוקת עיזבון בין יורשים טרם נולדה זכות הירושה </w:t>
      </w:r>
      <w:r>
        <w:rPr>
          <w:rFonts w:ascii="David" w:hAnsi="David" w:cs="David"/>
          <w:b/>
          <w:bCs/>
          <w:sz w:val="24"/>
          <w:szCs w:val="24"/>
          <w:rtl/>
        </w:rPr>
        <w:t>ראו: ס' 18 לכתב ההגנה בתביעה בעניין תצהיר ההסתלקות</w:t>
      </w:r>
      <w:r>
        <w:rPr>
          <w:rFonts w:ascii="David" w:hAnsi="David" w:cs="David"/>
          <w:sz w:val="24"/>
          <w:szCs w:val="24"/>
          <w:rtl/>
        </w:rPr>
        <w:t>.</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spacing w:after="0" w:line="360" w:lineRule="auto"/>
        <w:jc w:val="both"/>
        <w:rPr>
          <w:rFonts w:ascii="David" w:hAnsi="David" w:cs="David"/>
          <w:sz w:val="24"/>
          <w:szCs w:val="24"/>
        </w:rPr>
      </w:pPr>
      <w:r w:rsidRPr="00871141">
        <w:rPr>
          <w:rFonts w:ascii="David" w:hAnsi="David" w:cs="David"/>
          <w:sz w:val="24"/>
          <w:szCs w:val="24"/>
          <w:rtl/>
        </w:rPr>
        <w:t>ראשית, בת"ע 35012-11-18</w:t>
      </w:r>
      <w:r w:rsidRPr="00871141">
        <w:rPr>
          <w:rFonts w:ascii="David" w:hAnsi="David" w:cs="David"/>
          <w:b/>
          <w:bCs/>
          <w:sz w:val="24"/>
          <w:szCs w:val="24"/>
          <w:rtl/>
        </w:rPr>
        <w:t xml:space="preserve"> י.פ נ' א.נ</w:t>
      </w:r>
      <w:r w:rsidRPr="00871141">
        <w:rPr>
          <w:rFonts w:ascii="David" w:hAnsi="David" w:cs="David"/>
          <w:sz w:val="24"/>
          <w:szCs w:val="24"/>
        </w:rPr>
        <w:t xml:space="preserve"> </w:t>
      </w:r>
      <w:r w:rsidRPr="00871141">
        <w:rPr>
          <w:rFonts w:ascii="David" w:hAnsi="David" w:cs="David"/>
          <w:sz w:val="24"/>
          <w:szCs w:val="24"/>
          <w:rtl/>
        </w:rPr>
        <w:t xml:space="preserve">(14.12.2020) הובהר כי </w:t>
      </w:r>
      <w:r w:rsidRPr="00BD0303">
        <w:rPr>
          <w:rFonts w:ascii="David" w:hAnsi="David" w:cs="David"/>
          <w:sz w:val="24"/>
          <w:szCs w:val="24"/>
          <w:rtl/>
        </w:rPr>
        <w:t>חוק הירושה</w:t>
      </w:r>
      <w:r w:rsidRPr="00871141">
        <w:rPr>
          <w:rFonts w:ascii="David" w:hAnsi="David" w:cs="David"/>
          <w:sz w:val="24"/>
          <w:szCs w:val="24"/>
          <w:rtl/>
        </w:rPr>
        <w:t xml:space="preserve"> מכיר בשתי </w:t>
      </w:r>
      <w:r>
        <w:rPr>
          <w:rFonts w:ascii="David" w:hAnsi="David" w:cs="David"/>
          <w:sz w:val="24"/>
          <w:szCs w:val="24"/>
          <w:rtl/>
        </w:rPr>
        <w:t xml:space="preserve">אפשרויות של יורש להעביר לאחר את ירושתו. </w:t>
      </w:r>
      <w:r>
        <w:rPr>
          <w:rFonts w:ascii="David" w:hAnsi="David" w:cs="David"/>
          <w:sz w:val="24"/>
          <w:szCs w:val="24"/>
          <w:u w:val="single"/>
          <w:rtl/>
        </w:rPr>
        <w:t>האחת</w:t>
      </w:r>
      <w:r>
        <w:rPr>
          <w:rFonts w:ascii="David" w:hAnsi="David" w:cs="David"/>
          <w:sz w:val="24"/>
          <w:szCs w:val="24"/>
          <w:rtl/>
        </w:rPr>
        <w:t xml:space="preserve">, הסתלקות מכוח סעיף 6 לחוק הירושה, </w:t>
      </w:r>
      <w:r>
        <w:rPr>
          <w:rFonts w:ascii="David" w:hAnsi="David" w:cs="David"/>
          <w:sz w:val="24"/>
          <w:szCs w:val="24"/>
          <w:u w:val="single"/>
          <w:rtl/>
        </w:rPr>
        <w:t>והשנייה</w:t>
      </w:r>
      <w:r>
        <w:rPr>
          <w:rFonts w:ascii="David" w:hAnsi="David" w:cs="David"/>
          <w:sz w:val="24"/>
          <w:szCs w:val="24"/>
          <w:rtl/>
        </w:rPr>
        <w:t>, בהעברה על-פי סעיף 7 לחוק הירושה.</w:t>
      </w:r>
      <w:r>
        <w:rPr>
          <w:rFonts w:ascii="David" w:hAnsi="David" w:cs="David"/>
          <w:sz w:val="24"/>
          <w:szCs w:val="24"/>
        </w:rPr>
        <w:t xml:space="preserve"> </w:t>
      </w:r>
      <w:r>
        <w:rPr>
          <w:rFonts w:ascii="David" w:hAnsi="David" w:cs="David"/>
          <w:sz w:val="24"/>
          <w:szCs w:val="24"/>
          <w:rtl/>
        </w:rPr>
        <w:t xml:space="preserve">ההבדל בין השתיים הוא כי במקרה אחד </w:t>
      </w:r>
      <w:r>
        <w:rPr>
          <w:rFonts w:ascii="David" w:hAnsi="David" w:cs="David"/>
          <w:sz w:val="24"/>
          <w:szCs w:val="24"/>
          <w:rtl/>
        </w:rPr>
        <w:lastRenderedPageBreak/>
        <w:t>נשלל מעמדו של היורש מהחלק ממנו הסתלק ואילו במקרה השני מעמדו נותר כשל יורש. במילים אחרות, החתימה על תצהיר ההסתלקות הינה פעולה משפטית נפרדת מחתימה על הסכם חלוקת עיזבון, שאינה תלויה בה ואין לראות בתצהיר ההסתלקות חלק בלתי נפרד מההסכם רק מפני ששניהם נחתמו בו בזמן.</w:t>
      </w:r>
    </w:p>
    <w:p w:rsidR="00311DDA" w:rsidRDefault="00311DDA" w:rsidP="00311DDA">
      <w:pPr>
        <w:pStyle w:val="a9"/>
        <w:spacing w:after="0" w:line="360" w:lineRule="auto"/>
        <w:jc w:val="both"/>
        <w:rPr>
          <w:rFonts w:ascii="David" w:hAnsi="David" w:cs="David"/>
          <w:sz w:val="24"/>
          <w:szCs w:val="24"/>
          <w:rtl/>
        </w:rPr>
      </w:pPr>
      <w:r>
        <w:rPr>
          <w:rFonts w:ascii="David" w:hAnsi="David" w:cs="David"/>
          <w:sz w:val="24"/>
          <w:szCs w:val="24"/>
          <w:u w:val="single"/>
          <w:rtl/>
        </w:rPr>
        <w:t>שנית</w:t>
      </w:r>
      <w:r>
        <w:rPr>
          <w:rFonts w:ascii="David" w:hAnsi="David" w:cs="David"/>
          <w:sz w:val="24"/>
          <w:szCs w:val="24"/>
          <w:rtl/>
        </w:rPr>
        <w:t>, ס' 7 (א) לחוק הירושה הקובע כי:</w:t>
      </w:r>
    </w:p>
    <w:p w:rsidR="00311DDA" w:rsidRDefault="00311DDA" w:rsidP="00311DDA">
      <w:pPr>
        <w:pStyle w:val="a9"/>
        <w:spacing w:after="0" w:line="360" w:lineRule="auto"/>
        <w:jc w:val="both"/>
        <w:rPr>
          <w:rFonts w:ascii="David" w:hAnsi="David" w:cs="David"/>
          <w:sz w:val="24"/>
          <w:szCs w:val="24"/>
          <w:rtl/>
        </w:rPr>
      </w:pPr>
    </w:p>
    <w:p w:rsidR="00311DDA" w:rsidRDefault="00311DDA" w:rsidP="00311DDA">
      <w:pPr>
        <w:pStyle w:val="a9"/>
        <w:spacing w:after="0" w:line="360" w:lineRule="auto"/>
        <w:ind w:left="1133" w:right="1134"/>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לאחר מות המוריש וכל עוד לא חולק העזבון רשאי יורש, בהסכם שבכתב, להעביר או לשעבד את חלקו בעזבון, כולו או מקצתו, ורשאים נושי היורש לעקל חלקו בעזבון" </w:t>
      </w:r>
    </w:p>
    <w:p w:rsidR="00311DDA" w:rsidRDefault="00311DDA" w:rsidP="00311DDA">
      <w:pPr>
        <w:pStyle w:val="a9"/>
        <w:spacing w:after="0" w:line="360" w:lineRule="auto"/>
        <w:jc w:val="both"/>
        <w:rPr>
          <w:rFonts w:ascii="David" w:hAnsi="David" w:cs="David"/>
          <w:sz w:val="24"/>
          <w:szCs w:val="24"/>
          <w:rtl/>
        </w:rPr>
      </w:pPr>
    </w:p>
    <w:p w:rsidR="00311DDA" w:rsidRDefault="00311DDA" w:rsidP="00311DDA">
      <w:pPr>
        <w:pStyle w:val="a9"/>
        <w:spacing w:after="0" w:line="360" w:lineRule="auto"/>
        <w:jc w:val="both"/>
        <w:rPr>
          <w:rFonts w:ascii="David" w:hAnsi="David" w:cs="David"/>
          <w:sz w:val="24"/>
          <w:szCs w:val="24"/>
          <w:rtl/>
        </w:rPr>
      </w:pPr>
      <w:r>
        <w:rPr>
          <w:rFonts w:ascii="David" w:hAnsi="David" w:cs="David"/>
          <w:sz w:val="24"/>
          <w:szCs w:val="24"/>
          <w:rtl/>
        </w:rPr>
        <w:t>סעיף זה מאפשר העברה של נכסי העיזבון על-ידי יורש לפני מתן צו הירושה, כאשר בדומה לתצהיר ההסתלקות, המועד להעברת הנכסים הינו בין מות המוריש לבין חלוקת העיזבון.</w:t>
      </w:r>
    </w:p>
    <w:p w:rsidR="00311DDA" w:rsidRDefault="00311DDA" w:rsidP="00311DDA">
      <w:pPr>
        <w:pStyle w:val="a9"/>
        <w:spacing w:after="0" w:line="360" w:lineRule="auto"/>
        <w:jc w:val="both"/>
        <w:rPr>
          <w:rFonts w:ascii="David" w:hAnsi="David" w:cs="David"/>
          <w:sz w:val="24"/>
          <w:szCs w:val="24"/>
          <w:u w:val="single"/>
        </w:rPr>
      </w:pPr>
    </w:p>
    <w:p w:rsidR="00311DDA" w:rsidRDefault="00311DDA" w:rsidP="00311DDA">
      <w:pPr>
        <w:pStyle w:val="a9"/>
        <w:spacing w:after="0" w:line="360" w:lineRule="auto"/>
        <w:jc w:val="both"/>
        <w:rPr>
          <w:rFonts w:ascii="David" w:hAnsi="David" w:cs="David"/>
          <w:sz w:val="24"/>
          <w:szCs w:val="24"/>
          <w:rtl/>
        </w:rPr>
      </w:pPr>
      <w:r>
        <w:rPr>
          <w:rFonts w:ascii="David" w:hAnsi="David" w:cs="David"/>
          <w:sz w:val="24"/>
          <w:szCs w:val="24"/>
          <w:u w:val="single"/>
          <w:rtl/>
        </w:rPr>
        <w:t>שלישית</w:t>
      </w:r>
      <w:r>
        <w:rPr>
          <w:rFonts w:ascii="David" w:hAnsi="David" w:cs="David"/>
          <w:sz w:val="24"/>
          <w:szCs w:val="24"/>
          <w:rtl/>
        </w:rPr>
        <w:t xml:space="preserve">, לא מצאתי בהסכם כל תלות בינו לבין תצהיר ההסתלקות. </w:t>
      </w:r>
      <w:r>
        <w:rPr>
          <w:rFonts w:ascii="David" w:hAnsi="David" w:cs="David"/>
          <w:b/>
          <w:bCs/>
          <w:sz w:val="24"/>
          <w:szCs w:val="24"/>
          <w:rtl/>
        </w:rPr>
        <w:t>בס' 11 להסכם</w:t>
      </w:r>
      <w:r>
        <w:rPr>
          <w:rFonts w:ascii="David" w:hAnsi="David" w:cs="David"/>
          <w:sz w:val="24"/>
          <w:szCs w:val="24"/>
          <w:rtl/>
        </w:rPr>
        <w:t xml:space="preserve"> נכתב אומנם כי הנתבעת תחתום על תצהיר ההסתלקות לטובת התובע ואולם, בפועל, תצהיר ההסתלקות נחתם בד בבד עם ההסכם כמסמך משפטי עצמאי, כך שאין לראות בתצהיר ההסתלקות חלק בלתי נפרד מההסכם. הדבר נכון ביתר שאת מקום בו די היה בתצהיר ההסתלקות – ללא ההסכם, או בהסכם – ללא תצהיר ההסתלקות, כדי להעביר לתובע חלק מחלקה של הנתבעת בעיזבון המנוחה.</w:t>
      </w:r>
    </w:p>
    <w:p w:rsidR="00311DDA" w:rsidRDefault="00311DDA" w:rsidP="00311DDA">
      <w:pPr>
        <w:pStyle w:val="a9"/>
        <w:spacing w:after="0" w:line="360" w:lineRule="auto"/>
        <w:jc w:val="both"/>
        <w:rPr>
          <w:rFonts w:ascii="David" w:hAnsi="David" w:cs="David"/>
          <w:sz w:val="24"/>
          <w:szCs w:val="24"/>
          <w:rtl/>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ער אני לטענת הנתבעת כי עמדת ב"כ היועמ"ש ומנהלת העיזבון הייתה כי חלוקת העיזבון צריכה להיות 50%-50% </w:t>
      </w:r>
      <w:r>
        <w:rPr>
          <w:rFonts w:ascii="David" w:hAnsi="David" w:cs="David"/>
          <w:b/>
          <w:bCs/>
          <w:sz w:val="24"/>
          <w:szCs w:val="24"/>
          <w:rtl/>
        </w:rPr>
        <w:t>ראו: ס' 7 לתביעה בעניין תצהיר ההסתלקות</w:t>
      </w:r>
      <w:r>
        <w:rPr>
          <w:rFonts w:ascii="David" w:hAnsi="David" w:cs="David"/>
          <w:sz w:val="24"/>
          <w:szCs w:val="24"/>
          <w:rtl/>
        </w:rPr>
        <w:t>. טענה זו יש לדחות מכל וכל.</w:t>
      </w:r>
    </w:p>
    <w:p w:rsidR="00311DDA" w:rsidRDefault="00311DDA" w:rsidP="00311DDA">
      <w:pPr>
        <w:spacing w:line="360" w:lineRule="auto"/>
        <w:jc w:val="both"/>
        <w:rPr>
          <w:rFonts w:ascii="David" w:hAnsi="David"/>
        </w:rPr>
      </w:pPr>
    </w:p>
    <w:p w:rsidR="00311DDA" w:rsidRDefault="00311DDA" w:rsidP="00311DDA">
      <w:pPr>
        <w:spacing w:line="360" w:lineRule="auto"/>
        <w:ind w:left="720"/>
        <w:jc w:val="both"/>
        <w:rPr>
          <w:rFonts w:ascii="David" w:hAnsi="David"/>
          <w:rtl/>
        </w:rPr>
      </w:pPr>
      <w:r>
        <w:rPr>
          <w:rFonts w:ascii="David" w:hAnsi="David"/>
          <w:u w:val="single"/>
          <w:rtl/>
        </w:rPr>
        <w:t>ראשית</w:t>
      </w:r>
      <w:r>
        <w:rPr>
          <w:rFonts w:ascii="David" w:hAnsi="David"/>
          <w:rtl/>
        </w:rPr>
        <w:t xml:space="preserve">, בס' 8 להודעת ב"כ היועמ"ש מיום 10.1.22 </w:t>
      </w:r>
      <w:r>
        <w:rPr>
          <w:rFonts w:ascii="David" w:hAnsi="David"/>
          <w:b/>
          <w:bCs/>
          <w:rtl/>
        </w:rPr>
        <w:t>ראו: עמ' 123 לתיק המוצגים</w:t>
      </w:r>
      <w:r>
        <w:rPr>
          <w:rFonts w:ascii="David" w:hAnsi="David"/>
          <w:rtl/>
        </w:rPr>
        <w:t xml:space="preserve"> נכתב כך:</w:t>
      </w:r>
    </w:p>
    <w:p w:rsidR="00311DDA" w:rsidRDefault="00311DDA" w:rsidP="00311DDA">
      <w:pPr>
        <w:spacing w:line="360" w:lineRule="auto"/>
        <w:ind w:left="720"/>
        <w:jc w:val="both"/>
        <w:rPr>
          <w:rFonts w:ascii="David" w:hAnsi="David"/>
          <w:rtl/>
        </w:rPr>
      </w:pPr>
    </w:p>
    <w:p w:rsidR="00311DDA" w:rsidRDefault="00311DDA" w:rsidP="00311DDA">
      <w:pPr>
        <w:spacing w:line="360" w:lineRule="auto"/>
        <w:ind w:left="720"/>
        <w:jc w:val="both"/>
        <w:rPr>
          <w:rFonts w:ascii="David" w:hAnsi="David"/>
          <w:rtl/>
        </w:rPr>
      </w:pPr>
      <w:r>
        <w:rPr>
          <w:rFonts w:ascii="David" w:hAnsi="David"/>
          <w:rtl/>
        </w:rPr>
        <w:t>"בנסיבות בהן ההסתלקות של האם המנוחה הייתה במסגרת ההסכמים בין הצדדים ולא כחלק מבקשה לצו ירושה, ב"כ היועמ"ש ומנהלת העיזבון הזמנית סבורות כי נוסח הצו הירושה צריך להיות על-פי הקבוע בחוק, היינו בחלקים שווים בין הידוע בציבור לבין אם המנוחה, אלא אם כן בית המשפט הנכבד יורה אחרת"</w:t>
      </w:r>
    </w:p>
    <w:p w:rsidR="00311DDA" w:rsidRDefault="00311DDA" w:rsidP="00311DDA">
      <w:pPr>
        <w:spacing w:line="360" w:lineRule="auto"/>
        <w:ind w:left="720"/>
        <w:jc w:val="both"/>
        <w:rPr>
          <w:rFonts w:ascii="David" w:hAnsi="David"/>
          <w:rtl/>
        </w:rPr>
      </w:pPr>
    </w:p>
    <w:p w:rsidR="00311DDA" w:rsidRDefault="00311DDA" w:rsidP="00311DDA">
      <w:pPr>
        <w:pStyle w:val="a9"/>
        <w:spacing w:after="0" w:line="360" w:lineRule="auto"/>
        <w:jc w:val="both"/>
        <w:rPr>
          <w:rFonts w:ascii="David" w:hAnsi="David" w:cs="David"/>
          <w:sz w:val="24"/>
          <w:szCs w:val="24"/>
          <w:rtl/>
        </w:rPr>
      </w:pPr>
      <w:r>
        <w:rPr>
          <w:rFonts w:ascii="David" w:hAnsi="David" w:cs="David"/>
          <w:sz w:val="24"/>
          <w:szCs w:val="24"/>
          <w:rtl/>
        </w:rPr>
        <w:t>ואולם בפועל, תצהיר ההסתלקות הוגש במסגרת הבקשה לצו ירושה</w:t>
      </w:r>
      <w:r>
        <w:rPr>
          <w:rFonts w:ascii="David" w:hAnsi="David" w:cs="David"/>
          <w:b/>
          <w:bCs/>
          <w:sz w:val="24"/>
          <w:szCs w:val="24"/>
          <w:rtl/>
        </w:rPr>
        <w:t xml:space="preserve"> ראו: ס' 11 לתביעה בעניין תצהיר ההסתלקות </w:t>
      </w:r>
      <w:r>
        <w:rPr>
          <w:rFonts w:ascii="David" w:hAnsi="David" w:cs="David"/>
          <w:sz w:val="24"/>
          <w:szCs w:val="24"/>
          <w:rtl/>
        </w:rPr>
        <w:t xml:space="preserve">שלא הוכחש על-ידי הנתבעת </w:t>
      </w:r>
      <w:r>
        <w:rPr>
          <w:rFonts w:ascii="David" w:hAnsi="David" w:cs="David"/>
          <w:b/>
          <w:bCs/>
          <w:sz w:val="24"/>
          <w:szCs w:val="24"/>
          <w:rtl/>
        </w:rPr>
        <w:t>בס' 38 לכתב ההגנה לתביעה זו</w:t>
      </w:r>
      <w:r>
        <w:rPr>
          <w:rFonts w:ascii="David" w:hAnsi="David" w:cs="David"/>
          <w:sz w:val="24"/>
          <w:szCs w:val="24"/>
          <w:rtl/>
        </w:rPr>
        <w:t xml:space="preserve">, </w:t>
      </w:r>
      <w:r>
        <w:rPr>
          <w:rFonts w:ascii="David" w:hAnsi="David" w:cs="David"/>
          <w:b/>
          <w:bCs/>
          <w:sz w:val="24"/>
          <w:szCs w:val="24"/>
          <w:rtl/>
        </w:rPr>
        <w:t>עמ' 221 לתיק המוצגים</w:t>
      </w:r>
      <w:r>
        <w:rPr>
          <w:rFonts w:ascii="David" w:hAnsi="David" w:cs="David"/>
          <w:sz w:val="24"/>
          <w:szCs w:val="24"/>
          <w:rtl/>
        </w:rPr>
        <w:t>.</w:t>
      </w:r>
    </w:p>
    <w:p w:rsidR="00311DDA" w:rsidRDefault="00311DDA" w:rsidP="00311DDA">
      <w:pPr>
        <w:spacing w:line="360" w:lineRule="auto"/>
        <w:ind w:left="720"/>
        <w:jc w:val="both"/>
        <w:rPr>
          <w:rFonts w:ascii="David" w:hAnsi="David"/>
        </w:rPr>
      </w:pPr>
    </w:p>
    <w:p w:rsidR="00311DDA" w:rsidRDefault="00311DDA" w:rsidP="00311DDA">
      <w:pPr>
        <w:spacing w:line="360" w:lineRule="auto"/>
        <w:ind w:left="720"/>
        <w:jc w:val="both"/>
        <w:rPr>
          <w:rFonts w:ascii="David" w:hAnsi="David"/>
          <w:rtl/>
        </w:rPr>
      </w:pPr>
      <w:r>
        <w:rPr>
          <w:rFonts w:ascii="David" w:hAnsi="David"/>
          <w:u w:val="single"/>
          <w:rtl/>
        </w:rPr>
        <w:t>שנית</w:t>
      </w:r>
      <w:r>
        <w:rPr>
          <w:rFonts w:ascii="David" w:hAnsi="David"/>
          <w:rtl/>
        </w:rPr>
        <w:t xml:space="preserve">, בהודעה אחרת של ב"כ היועמ"ש מיום 13.7.2020 </w:t>
      </w:r>
      <w:r>
        <w:rPr>
          <w:rFonts w:ascii="David" w:hAnsi="David"/>
          <w:b/>
          <w:bCs/>
          <w:rtl/>
        </w:rPr>
        <w:t>ראו: ס' 37 לתיק המוצגים</w:t>
      </w:r>
      <w:r>
        <w:rPr>
          <w:rFonts w:ascii="David" w:hAnsi="David"/>
          <w:rtl/>
        </w:rPr>
        <w:t xml:space="preserve"> נכתב כי לאור הסתלקות הנתבעת לטובת התובע, חלקו של התובע בעיזבון המנוחה הינו 65/100 ושל הנתבעת 35/100.</w:t>
      </w:r>
    </w:p>
    <w:p w:rsidR="008B0B9F" w:rsidRDefault="008B0B9F" w:rsidP="00311DDA">
      <w:pPr>
        <w:spacing w:line="360" w:lineRule="auto"/>
        <w:ind w:left="720"/>
        <w:jc w:val="both"/>
        <w:rPr>
          <w:rFonts w:ascii="David" w:hAnsi="David"/>
          <w:rtl/>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יש לדחות את טענת הנתבעת בכל הנוגע לבטלות תצהיר ההסתלקות שכן היה עליה "לפעול לביטול הסתלקות בהליך נפרד וחיצוני לחוק הירושה, בהתבסס על דיני החוזים" </w:t>
      </w:r>
      <w:r>
        <w:rPr>
          <w:rFonts w:ascii="David" w:hAnsi="David" w:cs="David"/>
          <w:b/>
          <w:bCs/>
          <w:sz w:val="24"/>
          <w:szCs w:val="24"/>
          <w:rtl/>
        </w:rPr>
        <w:t xml:space="preserve">ראו: </w:t>
      </w:r>
      <w:r>
        <w:rPr>
          <w:rFonts w:ascii="David" w:hAnsi="David" w:cs="David"/>
          <w:sz w:val="24"/>
          <w:szCs w:val="24"/>
          <w:rtl/>
        </w:rPr>
        <w:t xml:space="preserve">ספרם של שאול שוחט, נחום פינברג ויחזקאל פלומין </w:t>
      </w:r>
      <w:r>
        <w:rPr>
          <w:rFonts w:ascii="David" w:hAnsi="David" w:cs="David"/>
          <w:b/>
          <w:bCs/>
          <w:sz w:val="24"/>
          <w:szCs w:val="24"/>
          <w:rtl/>
        </w:rPr>
        <w:t>דיני ירושה ועיזבון</w:t>
      </w:r>
      <w:r>
        <w:rPr>
          <w:rFonts w:ascii="David" w:hAnsi="David" w:cs="David"/>
          <w:sz w:val="24"/>
          <w:szCs w:val="24"/>
          <w:rtl/>
        </w:rPr>
        <w:t xml:space="preserve"> (מהדורה שביעית, התשע"ד–2014)</w:t>
      </w:r>
      <w:r>
        <w:rPr>
          <w:rFonts w:ascii="David" w:hAnsi="David" w:cs="David"/>
          <w:b/>
          <w:bCs/>
          <w:sz w:val="24"/>
          <w:szCs w:val="24"/>
          <w:rtl/>
        </w:rPr>
        <w:t xml:space="preserve"> </w:t>
      </w:r>
      <w:r>
        <w:rPr>
          <w:rFonts w:ascii="David" w:hAnsi="David" w:cs="David"/>
          <w:sz w:val="24"/>
          <w:szCs w:val="24"/>
          <w:rtl/>
        </w:rPr>
        <w:t>עמ' 49 – והדבר לא נעשה על-ידי הנתבעת.</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נשאלת אפוא השאלה האם הנתבעת רשאית לחזור בה מתצהיר ההסתלקות מטעמים אחרים.</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באשר לאפשרות יורש לחזור בו מהסתלקותו, כתב פרופ' שילה בספרו "פירוש לחוק הירושה, תשכ"ה – 1965", כרך 1, עמוד 87:</w:t>
      </w:r>
    </w:p>
    <w:p w:rsidR="00311DDA" w:rsidRDefault="00311DDA" w:rsidP="00311DDA">
      <w:pPr>
        <w:pStyle w:val="a9"/>
        <w:spacing w:line="360" w:lineRule="auto"/>
        <w:rPr>
          <w:rFonts w:ascii="David" w:hAnsi="David" w:cs="David"/>
          <w:sz w:val="24"/>
          <w:szCs w:val="24"/>
        </w:rPr>
      </w:pPr>
    </w:p>
    <w:p w:rsidR="00311DDA" w:rsidRDefault="00311DDA" w:rsidP="00311DDA">
      <w:pPr>
        <w:pStyle w:val="a9"/>
        <w:spacing w:after="0" w:line="360" w:lineRule="auto"/>
        <w:ind w:left="1133" w:right="1134"/>
        <w:jc w:val="both"/>
        <w:rPr>
          <w:rFonts w:ascii="David" w:hAnsi="David" w:cs="David"/>
          <w:i/>
          <w:iCs/>
          <w:sz w:val="24"/>
          <w:szCs w:val="24"/>
        </w:rPr>
      </w:pPr>
      <w:r>
        <w:rPr>
          <w:rFonts w:ascii="David" w:hAnsi="David" w:cs="David"/>
          <w:i/>
          <w:iCs/>
          <w:sz w:val="24"/>
          <w:szCs w:val="24"/>
        </w:rPr>
        <w:t xml:space="preserve"> </w:t>
      </w:r>
      <w:r>
        <w:rPr>
          <w:rFonts w:ascii="David" w:hAnsi="David" w:cs="David"/>
          <w:i/>
          <w:iCs/>
          <w:sz w:val="24"/>
          <w:szCs w:val="24"/>
          <w:rtl/>
        </w:rPr>
        <w:t xml:space="preserve">"האם אפשר לו לאדם להסתלק מהסתלקותו? לדעתנו, אין אדם יכול לחזור בו מהסתלקותו. עם הסתלקותו הוא חדל להיות בעל מעמד לעניין אותו עזבון, ואין לטעון שהפה שאסר הוא הפה שהתיר. זה לדעתנו, המצב </w:t>
      </w:r>
      <w:r w:rsidRPr="00871141">
        <w:rPr>
          <w:rFonts w:ascii="David" w:hAnsi="David" w:cs="David"/>
          <w:i/>
          <w:iCs/>
          <w:sz w:val="24"/>
          <w:szCs w:val="24"/>
          <w:rtl/>
        </w:rPr>
        <w:t xml:space="preserve">המשפטי לנוכח </w:t>
      </w:r>
      <w:r w:rsidRPr="00BD0303">
        <w:rPr>
          <w:rFonts w:ascii="David" w:hAnsi="David" w:cs="David"/>
          <w:i/>
          <w:iCs/>
          <w:sz w:val="24"/>
          <w:szCs w:val="24"/>
          <w:rtl/>
        </w:rPr>
        <w:t>חוק הירושה</w:t>
      </w:r>
      <w:r w:rsidRPr="00871141">
        <w:rPr>
          <w:rFonts w:ascii="David" w:hAnsi="David" w:cs="David"/>
          <w:i/>
          <w:iCs/>
          <w:sz w:val="24"/>
          <w:szCs w:val="24"/>
          <w:rtl/>
        </w:rPr>
        <w:t xml:space="preserve">, שאיננו מזכיר את אפשרות החזרה מן </w:t>
      </w:r>
      <w:r>
        <w:rPr>
          <w:rFonts w:ascii="David" w:hAnsi="David" w:cs="David"/>
          <w:i/>
          <w:iCs/>
          <w:sz w:val="24"/>
          <w:szCs w:val="24"/>
          <w:rtl/>
        </w:rPr>
        <w:t>החזרה..."</w:t>
      </w:r>
    </w:p>
    <w:p w:rsidR="00311DDA" w:rsidRDefault="00311DDA" w:rsidP="00311DDA">
      <w:pPr>
        <w:pStyle w:val="a9"/>
        <w:spacing w:after="0" w:line="360" w:lineRule="auto"/>
        <w:ind w:left="1133" w:right="1134"/>
        <w:jc w:val="both"/>
        <w:rPr>
          <w:rFonts w:ascii="David" w:hAnsi="David" w:cs="David"/>
          <w:i/>
          <w:iCs/>
          <w:sz w:val="24"/>
          <w:szCs w:val="24"/>
          <w:rtl/>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ואולם, לאורך השנים נשמעו בפסיקה דעות שונות, המתירות חזרה מהסתלקות בירושה </w:t>
      </w:r>
      <w:r>
        <w:rPr>
          <w:rFonts w:ascii="David" w:hAnsi="David" w:cs="David"/>
          <w:b/>
          <w:bCs/>
          <w:sz w:val="24"/>
          <w:szCs w:val="24"/>
          <w:rtl/>
        </w:rPr>
        <w:t>ראו:</w:t>
      </w:r>
      <w:r>
        <w:rPr>
          <w:rFonts w:ascii="David" w:hAnsi="David" w:cs="David"/>
          <w:sz w:val="24"/>
          <w:szCs w:val="24"/>
          <w:rtl/>
        </w:rPr>
        <w:t xml:space="preserve"> ת"ע 24149-01-18 </w:t>
      </w:r>
      <w:r>
        <w:rPr>
          <w:rFonts w:ascii="David" w:hAnsi="David" w:cs="David"/>
          <w:b/>
          <w:bCs/>
          <w:sz w:val="24"/>
          <w:szCs w:val="24"/>
          <w:rtl/>
        </w:rPr>
        <w:t>א' נ' א'</w:t>
      </w:r>
      <w:r>
        <w:rPr>
          <w:rFonts w:ascii="David" w:hAnsi="David" w:cs="David"/>
          <w:sz w:val="24"/>
          <w:szCs w:val="24"/>
          <w:rtl/>
        </w:rPr>
        <w:t xml:space="preserve"> (14.5.2020).</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spacing w:after="0" w:line="360" w:lineRule="auto"/>
        <w:jc w:val="both"/>
        <w:rPr>
          <w:rFonts w:ascii="David" w:hAnsi="David" w:cs="David"/>
          <w:sz w:val="24"/>
          <w:szCs w:val="24"/>
        </w:rPr>
      </w:pPr>
      <w:r>
        <w:rPr>
          <w:rFonts w:ascii="David" w:hAnsi="David" w:cs="David"/>
          <w:sz w:val="24"/>
          <w:szCs w:val="24"/>
          <w:rtl/>
        </w:rPr>
        <w:t>כך למשל:</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pStyle w:val="a9"/>
        <w:spacing w:line="360" w:lineRule="auto"/>
        <w:jc w:val="both"/>
        <w:rPr>
          <w:rFonts w:ascii="David" w:hAnsi="David" w:cs="David"/>
          <w:sz w:val="24"/>
          <w:szCs w:val="24"/>
        </w:rPr>
      </w:pPr>
      <w:r>
        <w:rPr>
          <w:rFonts w:ascii="David" w:hAnsi="David" w:cs="David"/>
          <w:sz w:val="24"/>
          <w:szCs w:val="24"/>
          <w:rtl/>
        </w:rPr>
        <w:t xml:space="preserve">בת"א 586/01 </w:t>
      </w:r>
      <w:r>
        <w:rPr>
          <w:rFonts w:ascii="David" w:hAnsi="David" w:cs="David"/>
          <w:b/>
          <w:bCs/>
          <w:sz w:val="24"/>
          <w:szCs w:val="24"/>
          <w:rtl/>
        </w:rPr>
        <w:t>ליבנאוי נ' ליבנאוי</w:t>
      </w:r>
      <w:r>
        <w:rPr>
          <w:rFonts w:ascii="David" w:hAnsi="David" w:cs="David"/>
          <w:sz w:val="24"/>
          <w:szCs w:val="24"/>
          <w:rtl/>
        </w:rPr>
        <w:t xml:space="preserve"> (2.1.2003) נפסק כי ''אין סיבה לשלול חזרה מההסתלקות רק בשל כך שכבר הוצהר מה שהוצהר לגבי זכות היורשים, וכשם שהצהרה כזו יכול שתשתנה אם מתגלה יורש נוסף, כך יכולה היא להשתנות בעקבות חזרה מהסתלקות". לדעת כבוד השופט נאמן רק אם שינה מי מהיורשים מצבו לרעה על יסוד ההסתלקות או שכבר חולק העיזבון, לא תהא אפשרות לחזור מההסתלקות;</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lastRenderedPageBreak/>
        <w:t xml:space="preserve">בהמ' 21192/95 </w:t>
      </w:r>
      <w:r>
        <w:rPr>
          <w:rFonts w:ascii="David" w:hAnsi="David" w:cs="David"/>
          <w:b/>
          <w:bCs/>
          <w:sz w:val="24"/>
          <w:szCs w:val="24"/>
          <w:rtl/>
        </w:rPr>
        <w:t>סקלצקי נ' איצקס</w:t>
      </w:r>
      <w:r>
        <w:rPr>
          <w:rFonts w:ascii="David" w:hAnsi="David" w:cs="David"/>
          <w:sz w:val="24"/>
          <w:szCs w:val="24"/>
          <w:rtl/>
        </w:rPr>
        <w:t xml:space="preserve"> (20.7.1995) נקבע כי ניתן להחיל את דיני המתנה על </w:t>
      </w:r>
      <w:r w:rsidRPr="00871141">
        <w:rPr>
          <w:rFonts w:ascii="David" w:hAnsi="David" w:cs="David"/>
          <w:sz w:val="24"/>
          <w:szCs w:val="24"/>
          <w:rtl/>
        </w:rPr>
        <w:t xml:space="preserve">הסתלקות, כלומר המסתלק רשאי לחזור בו מהתחייבותו ליתן מתנה בהתאם להוראות </w:t>
      </w:r>
      <w:r w:rsidRPr="00BD0303">
        <w:rPr>
          <w:rFonts w:ascii="David" w:hAnsi="David" w:cs="David"/>
          <w:sz w:val="24"/>
          <w:szCs w:val="24"/>
          <w:rtl/>
        </w:rPr>
        <w:t>חוק המתנה</w:t>
      </w:r>
      <w:r>
        <w:rPr>
          <w:rFonts w:ascii="David" w:hAnsi="David" w:cs="David"/>
          <w:sz w:val="24"/>
          <w:szCs w:val="24"/>
          <w:rtl/>
        </w:rPr>
        <w:t xml:space="preserve"> </w:t>
      </w:r>
      <w:r>
        <w:rPr>
          <w:rFonts w:ascii="David" w:hAnsi="David" w:cs="David" w:hint="cs"/>
          <w:b/>
          <w:bCs/>
          <w:sz w:val="24"/>
          <w:szCs w:val="24"/>
          <w:rtl/>
        </w:rPr>
        <w:t>ראו גם</w:t>
      </w:r>
      <w:r>
        <w:rPr>
          <w:rFonts w:ascii="David" w:hAnsi="David" w:cs="David" w:hint="cs"/>
          <w:sz w:val="24"/>
          <w:szCs w:val="24"/>
          <w:rtl/>
        </w:rPr>
        <w:t>: ת"ע 1026-03-15</w:t>
      </w:r>
      <w:r>
        <w:rPr>
          <w:rFonts w:ascii="David" w:hAnsi="David" w:cs="David" w:hint="cs"/>
          <w:b/>
          <w:bCs/>
          <w:sz w:val="24"/>
          <w:szCs w:val="24"/>
          <w:rtl/>
        </w:rPr>
        <w:t xml:space="preserve"> ע.ע.י. נ'</w:t>
      </w:r>
      <w:r>
        <w:rPr>
          <w:rFonts w:ascii="David" w:hAnsi="David" w:cs="David" w:hint="cs"/>
          <w:sz w:val="24"/>
          <w:szCs w:val="24"/>
          <w:rtl/>
        </w:rPr>
        <w:t xml:space="preserve"> </w:t>
      </w:r>
      <w:r>
        <w:rPr>
          <w:rFonts w:ascii="David" w:hAnsi="David" w:cs="David" w:hint="cs"/>
          <w:b/>
          <w:bCs/>
          <w:sz w:val="24"/>
          <w:szCs w:val="24"/>
          <w:rtl/>
        </w:rPr>
        <w:t xml:space="preserve">י.ע.מ.י. </w:t>
      </w:r>
      <w:r>
        <w:rPr>
          <w:rFonts w:ascii="David" w:hAnsi="David" w:cs="David" w:hint="cs"/>
          <w:sz w:val="24"/>
          <w:szCs w:val="24"/>
          <w:rtl/>
        </w:rPr>
        <w:t>(7.2.2018);</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shd w:val="clear" w:color="auto" w:fill="FFFFFF"/>
        <w:spacing w:line="360" w:lineRule="auto"/>
        <w:jc w:val="both"/>
        <w:rPr>
          <w:rFonts w:ascii="David" w:hAnsi="David" w:cs="David"/>
          <w:sz w:val="24"/>
          <w:szCs w:val="24"/>
          <w:rtl/>
        </w:rPr>
      </w:pPr>
      <w:r>
        <w:rPr>
          <w:rFonts w:ascii="David" w:hAnsi="David" w:cs="David"/>
          <w:sz w:val="24"/>
          <w:szCs w:val="24"/>
          <w:rtl/>
        </w:rPr>
        <w:t xml:space="preserve">בת''ע 110681/08 </w:t>
      </w:r>
      <w:r>
        <w:rPr>
          <w:rFonts w:ascii="David" w:hAnsi="David" w:cs="David"/>
          <w:b/>
          <w:bCs/>
          <w:sz w:val="24"/>
          <w:szCs w:val="24"/>
          <w:rtl/>
        </w:rPr>
        <w:t xml:space="preserve">א נ' צ' </w:t>
      </w:r>
      <w:r>
        <w:rPr>
          <w:rFonts w:ascii="David" w:hAnsi="David" w:cs="David"/>
          <w:sz w:val="24"/>
          <w:szCs w:val="24"/>
          <w:rtl/>
        </w:rPr>
        <w:t>(1.7.2011) נקבע כי אם נפל פגם בהסכמת המסתלק מהעיזבון לפי אחת מהעילות בחוק החוזים, קרי: עושק, הפרת חובת תום הלב, הטעיה, טעות ניתן לחזור מהסתלקות;</w:t>
      </w:r>
    </w:p>
    <w:p w:rsidR="0015451A" w:rsidRDefault="0015451A" w:rsidP="00311DDA">
      <w:pPr>
        <w:pStyle w:val="a9"/>
        <w:shd w:val="clear" w:color="auto" w:fill="FFFFFF"/>
        <w:spacing w:line="360" w:lineRule="auto"/>
        <w:jc w:val="both"/>
        <w:rPr>
          <w:rFonts w:ascii="David" w:hAnsi="David" w:cs="David"/>
          <w:sz w:val="24"/>
          <w:szCs w:val="24"/>
          <w:rtl/>
        </w:rPr>
      </w:pPr>
    </w:p>
    <w:p w:rsidR="00311DDA" w:rsidRDefault="00311DDA" w:rsidP="00311DDA">
      <w:pPr>
        <w:pStyle w:val="a9"/>
        <w:shd w:val="clear" w:color="auto" w:fill="FFFFFF"/>
        <w:spacing w:line="360" w:lineRule="auto"/>
        <w:jc w:val="both"/>
        <w:rPr>
          <w:rFonts w:ascii="David" w:hAnsi="David" w:cs="David"/>
          <w:sz w:val="24"/>
          <w:szCs w:val="24"/>
          <w:rtl/>
        </w:rPr>
      </w:pPr>
      <w:r>
        <w:rPr>
          <w:rFonts w:ascii="David" w:hAnsi="David" w:cs="David"/>
          <w:sz w:val="24"/>
          <w:szCs w:val="24"/>
          <w:rtl/>
        </w:rPr>
        <w:t xml:space="preserve">בת"א (ת''א) 2548/02 </w:t>
      </w:r>
      <w:r>
        <w:rPr>
          <w:rFonts w:ascii="David" w:hAnsi="David" w:cs="David"/>
          <w:b/>
          <w:bCs/>
          <w:sz w:val="24"/>
          <w:szCs w:val="24"/>
          <w:rtl/>
        </w:rPr>
        <w:t xml:space="preserve">סעדיה נ' יעקב </w:t>
      </w:r>
      <w:r>
        <w:rPr>
          <w:rFonts w:ascii="David" w:hAnsi="David" w:cs="David"/>
          <w:sz w:val="24"/>
          <w:szCs w:val="24"/>
          <w:rtl/>
        </w:rPr>
        <w:t>(15.3.2007) נקבע כי כאשר מדובר בהסתלקות, הדבר הנו פעולה משפטית ולכן כאשר זו נעשתה ''למראית עין'', ניתן לבטלה.</w:t>
      </w:r>
    </w:p>
    <w:p w:rsidR="00311DDA" w:rsidRDefault="00311DDA" w:rsidP="00311DDA">
      <w:pPr>
        <w:pStyle w:val="a9"/>
        <w:shd w:val="clear" w:color="auto" w:fill="FFFFFF"/>
        <w:spacing w:line="360" w:lineRule="auto"/>
        <w:jc w:val="both"/>
        <w:rPr>
          <w:rFonts w:ascii="David" w:hAnsi="David" w:cs="David"/>
          <w:sz w:val="24"/>
          <w:szCs w:val="24"/>
          <w:rtl/>
        </w:rPr>
      </w:pPr>
    </w:p>
    <w:p w:rsidR="00311DDA" w:rsidRDefault="00311DDA" w:rsidP="00311DDA">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במקרה שלפניי נטען על-ידי הנתבעת כי הטעם המאפשר לה לחזור בה מההסתלקות הוא הטעייתה על-ידי התובע ובאת כוחו באשר למעמדו כיורש המנוחה </w:t>
      </w:r>
      <w:r>
        <w:rPr>
          <w:rFonts w:ascii="David" w:hAnsi="David" w:cs="David"/>
          <w:b/>
          <w:bCs/>
          <w:sz w:val="24"/>
          <w:szCs w:val="24"/>
          <w:rtl/>
        </w:rPr>
        <w:t>ראו, בין היתר: ס' 21, 23-25, 34, 46 לכתב ההגנה בתביעה לתצהיר ההסתלקות</w:t>
      </w:r>
      <w:r>
        <w:rPr>
          <w:rFonts w:ascii="David" w:hAnsi="David" w:cs="David"/>
          <w:sz w:val="24"/>
          <w:szCs w:val="24"/>
          <w:rtl/>
        </w:rPr>
        <w:t>.</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Pr>
      </w:pPr>
      <w:r>
        <w:rPr>
          <w:rFonts w:ascii="David" w:hAnsi="David" w:cs="David"/>
          <w:sz w:val="24"/>
          <w:szCs w:val="24"/>
          <w:rtl/>
        </w:rPr>
        <w:t xml:space="preserve">הסתלקות מעיזבון היא פעולה חד-צדדית </w:t>
      </w:r>
      <w:r>
        <w:rPr>
          <w:rFonts w:ascii="David" w:hAnsi="David" w:cs="David"/>
          <w:b/>
          <w:bCs/>
          <w:sz w:val="24"/>
          <w:szCs w:val="24"/>
          <w:rtl/>
        </w:rPr>
        <w:t>ראו</w:t>
      </w:r>
      <w:r>
        <w:rPr>
          <w:rFonts w:ascii="David" w:hAnsi="David" w:cs="David"/>
          <w:sz w:val="24"/>
          <w:szCs w:val="24"/>
          <w:rtl/>
        </w:rPr>
        <w:t xml:space="preserve">: ת"ע 29215-02-18 </w:t>
      </w:r>
      <w:r>
        <w:rPr>
          <w:rFonts w:ascii="David" w:hAnsi="David" w:cs="David"/>
          <w:b/>
          <w:bCs/>
          <w:sz w:val="24"/>
          <w:szCs w:val="24"/>
          <w:rtl/>
        </w:rPr>
        <w:t xml:space="preserve">מ. נ' האפוטרופוס הכללי </w:t>
      </w:r>
      <w:r>
        <w:rPr>
          <w:rFonts w:ascii="David" w:hAnsi="David" w:cs="David"/>
          <w:sz w:val="24"/>
          <w:szCs w:val="24"/>
          <w:rtl/>
        </w:rPr>
        <w:t>(18.8.2019) ולמרות שאינה חוזה, חלות עליה הוראות חוק החוזים (חלק כללי), התשל"ג–1973 (להלן: "</w:t>
      </w:r>
      <w:r>
        <w:rPr>
          <w:rFonts w:ascii="David" w:hAnsi="David" w:cs="David"/>
          <w:b/>
          <w:bCs/>
          <w:sz w:val="24"/>
          <w:szCs w:val="24"/>
          <w:rtl/>
        </w:rPr>
        <w:t>חוק החוזים</w:t>
      </w:r>
      <w:r>
        <w:rPr>
          <w:rFonts w:ascii="David" w:hAnsi="David" w:cs="David"/>
          <w:sz w:val="24"/>
          <w:szCs w:val="24"/>
          <w:rtl/>
        </w:rPr>
        <w:t xml:space="preserve">") </w:t>
      </w:r>
      <w:r>
        <w:rPr>
          <w:rFonts w:ascii="David" w:hAnsi="David" w:cs="David"/>
          <w:b/>
          <w:bCs/>
          <w:sz w:val="24"/>
          <w:szCs w:val="24"/>
          <w:rtl/>
        </w:rPr>
        <w:t>ראו</w:t>
      </w:r>
      <w:r>
        <w:rPr>
          <w:rFonts w:ascii="David" w:hAnsi="David" w:cs="David"/>
          <w:sz w:val="24"/>
          <w:szCs w:val="24"/>
          <w:rtl/>
        </w:rPr>
        <w:t xml:space="preserve">: ע"א 2041/05 </w:t>
      </w:r>
      <w:r>
        <w:rPr>
          <w:rFonts w:ascii="David" w:hAnsi="David" w:cs="David"/>
          <w:b/>
          <w:bCs/>
          <w:sz w:val="24"/>
          <w:szCs w:val="24"/>
          <w:rtl/>
        </w:rPr>
        <w:t>מחקשווילי נ' מיכקשווילי</w:t>
      </w:r>
      <w:r>
        <w:rPr>
          <w:rFonts w:ascii="David" w:hAnsi="David" w:cs="David"/>
          <w:sz w:val="24"/>
          <w:szCs w:val="24"/>
          <w:rtl/>
        </w:rPr>
        <w:t xml:space="preserve"> (19.11.2007); ע"א 4372/91 </w:t>
      </w:r>
      <w:r>
        <w:rPr>
          <w:rFonts w:ascii="David" w:hAnsi="David" w:cs="David"/>
          <w:b/>
          <w:bCs/>
          <w:sz w:val="24"/>
          <w:szCs w:val="24"/>
          <w:rtl/>
        </w:rPr>
        <w:t>סיטין נ' סיטין</w:t>
      </w:r>
      <w:r>
        <w:rPr>
          <w:rFonts w:ascii="David" w:hAnsi="David" w:cs="David"/>
          <w:sz w:val="24"/>
          <w:szCs w:val="24"/>
          <w:rtl/>
        </w:rPr>
        <w:t xml:space="preserve">, פ"ד מט(2) 120, 130 (1995), זאת מכוח סעיף 61(ב) לחוק החוזים הקובע כי "הוראות חוק זה יחולו, ככל שהדבר מתאים לעניין, בשינויים המחויבים, גם על פעולות משפטיות שאינן בבחינת חוזה ועל חיובים שאינם נובעים מחוזה" </w:t>
      </w:r>
      <w:r>
        <w:rPr>
          <w:rFonts w:ascii="David" w:hAnsi="David" w:cs="David"/>
          <w:b/>
          <w:bCs/>
          <w:sz w:val="24"/>
          <w:szCs w:val="24"/>
          <w:rtl/>
        </w:rPr>
        <w:t>ראו</w:t>
      </w:r>
      <w:r>
        <w:rPr>
          <w:rFonts w:ascii="David" w:hAnsi="David" w:cs="David"/>
          <w:sz w:val="24"/>
          <w:szCs w:val="24"/>
          <w:rtl/>
        </w:rPr>
        <w:t xml:space="preserve">: ת"ע 35012-11-18 </w:t>
      </w:r>
      <w:r>
        <w:rPr>
          <w:rFonts w:ascii="David" w:hAnsi="David" w:cs="David"/>
          <w:b/>
          <w:bCs/>
          <w:sz w:val="24"/>
          <w:szCs w:val="24"/>
          <w:rtl/>
        </w:rPr>
        <w:t>י.פ נ' א.נ</w:t>
      </w:r>
      <w:r>
        <w:rPr>
          <w:rFonts w:ascii="David" w:hAnsi="David" w:cs="David"/>
          <w:sz w:val="24"/>
          <w:szCs w:val="24"/>
          <w:rtl/>
        </w:rPr>
        <w:t xml:space="preserve"> (14.12.2020).</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סעיף 14 לחוק החוזים קובע כדלהלן: </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spacing w:line="360" w:lineRule="auto"/>
        <w:ind w:left="1133" w:right="1134"/>
        <w:jc w:val="both"/>
        <w:rPr>
          <w:rFonts w:ascii="David" w:hAnsi="David"/>
          <w:b/>
          <w:bCs/>
        </w:rPr>
      </w:pPr>
      <w:r>
        <w:rPr>
          <w:rFonts w:ascii="David" w:hAnsi="David"/>
          <w:b/>
          <w:bCs/>
          <w:rtl/>
        </w:rPr>
        <w:t xml:space="preserve">"(א) מי שהתקשר בחוזה עקב טעות וניתן להניח שלולא הטעות לא היה    </w:t>
      </w:r>
      <w:r>
        <w:rPr>
          <w:rFonts w:ascii="David" w:hAnsi="David"/>
          <w:b/>
          <w:bCs/>
          <w:rtl/>
        </w:rPr>
        <w:br/>
        <w:t xml:space="preserve">         מתקשר בחוזה והצד השני ידע או היה עליו לדעת על כך, רשאי    </w:t>
      </w:r>
      <w:r>
        <w:rPr>
          <w:rFonts w:ascii="David" w:hAnsi="David"/>
          <w:b/>
          <w:bCs/>
          <w:rtl/>
        </w:rPr>
        <w:br/>
        <w:t xml:space="preserve">         לבטל את החוזה.</w:t>
      </w:r>
    </w:p>
    <w:p w:rsidR="00311DDA" w:rsidRDefault="00311DDA" w:rsidP="00311DDA">
      <w:pPr>
        <w:spacing w:line="360" w:lineRule="auto"/>
        <w:ind w:left="1133" w:right="1134"/>
        <w:jc w:val="both"/>
        <w:rPr>
          <w:rFonts w:ascii="David" w:hAnsi="David"/>
          <w:b/>
          <w:bCs/>
        </w:rPr>
      </w:pPr>
      <w:r>
        <w:rPr>
          <w:rFonts w:ascii="David" w:hAnsi="David"/>
          <w:b/>
          <w:bCs/>
          <w:rtl/>
        </w:rPr>
        <w:t xml:space="preserve">(ב)   מי שהתקשר בחוזה עקב טעות וניתן להניח שלולא הטעות לא היה </w:t>
      </w:r>
      <w:r>
        <w:rPr>
          <w:rFonts w:ascii="David" w:hAnsi="David"/>
          <w:b/>
          <w:bCs/>
          <w:rtl/>
        </w:rPr>
        <w:br/>
        <w:t xml:space="preserve">         מתקשר בחוזה והצד השני לא ידע ולא היה עליו לדעת על כך, רשאי   </w:t>
      </w:r>
      <w:r>
        <w:rPr>
          <w:rFonts w:ascii="David" w:hAnsi="David"/>
          <w:b/>
          <w:bCs/>
          <w:rtl/>
        </w:rPr>
        <w:br/>
        <w:t xml:space="preserve">         בית המשפט, לפי בקשת הצד שטעה, לבטל את החוזה, אם ראה </w:t>
      </w:r>
      <w:r>
        <w:rPr>
          <w:rFonts w:ascii="David" w:hAnsi="David"/>
          <w:b/>
          <w:bCs/>
          <w:rtl/>
        </w:rPr>
        <w:br/>
      </w:r>
      <w:r>
        <w:rPr>
          <w:rFonts w:ascii="David" w:hAnsi="David"/>
          <w:b/>
          <w:bCs/>
          <w:rtl/>
        </w:rPr>
        <w:tab/>
        <w:t xml:space="preserve">  שמן הצדק לעשות זאת; עשה כן, רשאי בית המשפט לחייב את הצד </w:t>
      </w:r>
      <w:r>
        <w:rPr>
          <w:rFonts w:ascii="David" w:hAnsi="David"/>
          <w:b/>
          <w:bCs/>
          <w:rtl/>
        </w:rPr>
        <w:br/>
        <w:t xml:space="preserve">        שטעה בפיצויים בעד הנזק שנגרם לצד השני עקב כריתת החוזה.</w:t>
      </w:r>
    </w:p>
    <w:p w:rsidR="00311DDA" w:rsidRDefault="00311DDA" w:rsidP="00311DDA">
      <w:pPr>
        <w:spacing w:line="360" w:lineRule="auto"/>
        <w:ind w:left="1133" w:right="1134"/>
        <w:jc w:val="both"/>
        <w:rPr>
          <w:rFonts w:ascii="David" w:hAnsi="David"/>
          <w:b/>
          <w:bCs/>
        </w:rPr>
      </w:pPr>
      <w:r>
        <w:rPr>
          <w:rFonts w:ascii="David" w:hAnsi="David"/>
          <w:b/>
          <w:bCs/>
          <w:rtl/>
        </w:rPr>
        <w:lastRenderedPageBreak/>
        <w:t xml:space="preserve">(ג)   טעות אינה עילה לביטול החוזה לפי סעיף זה, אם ניתן לקיים את </w:t>
      </w:r>
      <w:r>
        <w:rPr>
          <w:rFonts w:ascii="David" w:hAnsi="David"/>
          <w:b/>
          <w:bCs/>
          <w:rtl/>
        </w:rPr>
        <w:br/>
        <w:t xml:space="preserve">        החוזה בתיקון הטעות והצד השני הודיע, לפני שבוטל החוזה, שהוא </w:t>
      </w:r>
      <w:r>
        <w:rPr>
          <w:rFonts w:ascii="David" w:hAnsi="David"/>
          <w:b/>
          <w:bCs/>
          <w:rtl/>
        </w:rPr>
        <w:br/>
        <w:t xml:space="preserve">        מוכן לעשות כן.</w:t>
      </w:r>
    </w:p>
    <w:p w:rsidR="00311DDA" w:rsidRDefault="00311DDA" w:rsidP="00311DDA">
      <w:pPr>
        <w:spacing w:line="360" w:lineRule="auto"/>
        <w:ind w:left="1133" w:right="1134"/>
        <w:jc w:val="both"/>
        <w:rPr>
          <w:rFonts w:ascii="David" w:hAnsi="David"/>
          <w:b/>
          <w:bCs/>
        </w:rPr>
      </w:pPr>
      <w:r>
        <w:rPr>
          <w:rFonts w:ascii="David" w:hAnsi="David"/>
          <w:b/>
          <w:bCs/>
          <w:rtl/>
        </w:rPr>
        <w:t xml:space="preserve">(ד)  "טעות", לענין סעיף זה וסעיף 15 – בין בעובדה ובין בחוק, להוציא </w:t>
      </w:r>
      <w:r>
        <w:rPr>
          <w:rFonts w:ascii="David" w:hAnsi="David"/>
          <w:b/>
          <w:bCs/>
          <w:rtl/>
        </w:rPr>
        <w:br/>
        <w:t xml:space="preserve">       טעות שאינה אלא בכדאיות העסקה"</w:t>
      </w:r>
    </w:p>
    <w:p w:rsidR="00311DDA" w:rsidRDefault="00311DDA" w:rsidP="00311DDA">
      <w:pPr>
        <w:spacing w:line="360" w:lineRule="auto"/>
        <w:ind w:left="1133" w:right="1134"/>
        <w:jc w:val="both"/>
        <w:rPr>
          <w:rFonts w:ascii="David" w:hAnsi="David"/>
          <w:b/>
          <w:bCs/>
          <w:rtl/>
        </w:rPr>
      </w:pPr>
    </w:p>
    <w:p w:rsidR="00311DDA" w:rsidRDefault="00311DDA" w:rsidP="00311DDA">
      <w:pPr>
        <w:pStyle w:val="a9"/>
        <w:numPr>
          <w:ilvl w:val="0"/>
          <w:numId w:val="1"/>
        </w:numPr>
        <w:spacing w:after="0" w:line="360" w:lineRule="auto"/>
        <w:jc w:val="both"/>
        <w:rPr>
          <w:rFonts w:ascii="David" w:hAnsi="David" w:cs="David"/>
          <w:sz w:val="24"/>
          <w:szCs w:val="24"/>
          <w:rtl/>
        </w:rPr>
      </w:pPr>
      <w:r>
        <w:rPr>
          <w:rFonts w:ascii="David" w:hAnsi="David" w:cs="David"/>
          <w:sz w:val="24"/>
          <w:szCs w:val="24"/>
          <w:rtl/>
        </w:rPr>
        <w:t>סעיף 15 לחוק החוזים קובע כדלהלן:</w:t>
      </w:r>
    </w:p>
    <w:p w:rsidR="00311DDA" w:rsidRDefault="00311DDA" w:rsidP="00311DDA">
      <w:pPr>
        <w:pStyle w:val="a9"/>
        <w:spacing w:after="0" w:line="360" w:lineRule="auto"/>
        <w:jc w:val="both"/>
        <w:rPr>
          <w:rFonts w:ascii="David" w:hAnsi="David" w:cs="David"/>
          <w:sz w:val="24"/>
          <w:szCs w:val="24"/>
        </w:rPr>
      </w:pPr>
    </w:p>
    <w:p w:rsidR="00311DDA" w:rsidRDefault="00311DDA" w:rsidP="00311DDA">
      <w:pPr>
        <w:spacing w:line="360" w:lineRule="auto"/>
        <w:ind w:left="1133" w:right="1134"/>
        <w:jc w:val="both"/>
        <w:rPr>
          <w:rFonts w:ascii="David" w:hAnsi="David"/>
          <w:b/>
          <w:bCs/>
          <w:rtl/>
        </w:rPr>
      </w:pPr>
      <w:r>
        <w:rPr>
          <w:rFonts w:ascii="David" w:hAnsi="David"/>
          <w:b/>
          <w:bCs/>
          <w:rtl/>
        </w:rPr>
        <w:t>"מי שהתקשר בחוזה עקב טעות שהיא תוצאת הטעיה שהטעהו הצד השני או אחר מטעמו, רשאי לבטל את החוזה; לענין זה, "הטעיה" - לרבות אי-גילוין של עובדות אשר לפי דין, לפי נוהג או לפי הנסיבות היה על הצד השני לגלותן."</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בדיני החוזים טעות משמעותה: מחשבה או אמונה של צד לחוזה שאינה תואמת את המצב האובייקטיבי. כאשר טעות שכזו של צד א' ידועה לצד ב', רשאי הטועה לבטל את החוזה </w:t>
      </w:r>
      <w:r>
        <w:rPr>
          <w:rFonts w:ascii="David" w:hAnsi="David" w:cs="David"/>
          <w:b/>
          <w:bCs/>
          <w:sz w:val="24"/>
          <w:szCs w:val="24"/>
          <w:rtl/>
        </w:rPr>
        <w:t>ראו</w:t>
      </w:r>
      <w:r>
        <w:rPr>
          <w:rFonts w:ascii="David" w:hAnsi="David" w:cs="David"/>
          <w:sz w:val="24"/>
          <w:szCs w:val="24"/>
          <w:rtl/>
        </w:rPr>
        <w:t>: עמ"ש 29522-05-13</w:t>
      </w:r>
      <w:r>
        <w:rPr>
          <w:rFonts w:ascii="David" w:hAnsi="David" w:cs="David"/>
          <w:b/>
          <w:bCs/>
          <w:sz w:val="24"/>
          <w:szCs w:val="24"/>
          <w:rtl/>
        </w:rPr>
        <w:t xml:space="preserve"> מ' ח' ל' נ' ל' א'</w:t>
      </w:r>
      <w:r>
        <w:rPr>
          <w:rFonts w:ascii="David" w:hAnsi="David" w:cs="David"/>
          <w:sz w:val="24"/>
          <w:szCs w:val="24"/>
          <w:rtl/>
        </w:rPr>
        <w:t xml:space="preserve"> (9.3.2013).</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ויודגש: מבחן הטעות הינו מבחן סובייקטיבי. הטעיה נוצרת בעת שקיים פער בין הדברים הנאמרים או המוסתרים לבין המציאות וכך כשההטעיה גורמת לטעות וממנה להתקשרות כאמור אז קמה לצד שטועה עילה לביטול החוזה </w:t>
      </w:r>
      <w:r>
        <w:rPr>
          <w:rFonts w:ascii="David" w:hAnsi="David" w:cs="David"/>
          <w:b/>
          <w:bCs/>
          <w:sz w:val="24"/>
          <w:szCs w:val="24"/>
          <w:rtl/>
        </w:rPr>
        <w:t>ראו</w:t>
      </w:r>
      <w:r>
        <w:rPr>
          <w:rFonts w:ascii="David" w:hAnsi="David" w:cs="David"/>
          <w:sz w:val="24"/>
          <w:szCs w:val="24"/>
          <w:rtl/>
        </w:rPr>
        <w:t xml:space="preserve">: תמ"ש 66291-12-15 </w:t>
      </w:r>
      <w:r>
        <w:rPr>
          <w:rFonts w:ascii="David" w:hAnsi="David" w:cs="David"/>
          <w:b/>
          <w:bCs/>
          <w:sz w:val="24"/>
          <w:szCs w:val="24"/>
          <w:rtl/>
        </w:rPr>
        <w:t xml:space="preserve">ק' נ' ב' </w:t>
      </w:r>
      <w:r>
        <w:rPr>
          <w:rFonts w:ascii="David" w:hAnsi="David" w:cs="David"/>
          <w:sz w:val="24"/>
          <w:szCs w:val="24"/>
          <w:rtl/>
        </w:rPr>
        <w:t>(8.3.2018).</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בהתאם לסעיף 14 לחוק החוזים, על הטוען לטעות מוטלת החובה להוכיח תחילה כי הצד שכנגד ידע או היה עליו לדעת על הטעות. בהתאם לסעיף 15 לחוק החוזים, על הטוען להטעיה להוכיח כי הצד שכנגד הציג מצג שווא מטעה בפניו, תוך שהוא מצביע על הטעות הנטענת על ידו. כמו כן עליו להוכיח כי מתקיים קשר סיבתי בין ההטעיה לבין ההתקשרות בהסכם </w:t>
      </w:r>
      <w:r>
        <w:rPr>
          <w:rFonts w:ascii="David" w:hAnsi="David" w:cs="David"/>
          <w:b/>
          <w:bCs/>
          <w:sz w:val="24"/>
          <w:szCs w:val="24"/>
          <w:rtl/>
        </w:rPr>
        <w:t>ראו:</w:t>
      </w:r>
      <w:r>
        <w:rPr>
          <w:rFonts w:ascii="David" w:hAnsi="David" w:cs="David"/>
          <w:sz w:val="24"/>
          <w:szCs w:val="24"/>
          <w:rtl/>
        </w:rPr>
        <w:t xml:space="preserve"> ע"א 1581/92 </w:t>
      </w:r>
      <w:r>
        <w:rPr>
          <w:rFonts w:ascii="David" w:hAnsi="David" w:cs="David"/>
          <w:b/>
          <w:bCs/>
          <w:sz w:val="24"/>
          <w:szCs w:val="24"/>
          <w:rtl/>
        </w:rPr>
        <w:t>ולנטין נ' ולנטין</w:t>
      </w:r>
      <w:r>
        <w:rPr>
          <w:rFonts w:ascii="David" w:hAnsi="David" w:cs="David"/>
          <w:sz w:val="24"/>
          <w:szCs w:val="24"/>
          <w:rtl/>
        </w:rPr>
        <w:t xml:space="preserve">, פ"ד מ"ט(3) 441 (1995); עמ"ש 42055-01-17 </w:t>
      </w:r>
      <w:r>
        <w:rPr>
          <w:rFonts w:ascii="David" w:hAnsi="David" w:cs="David"/>
          <w:b/>
          <w:bCs/>
          <w:sz w:val="24"/>
          <w:szCs w:val="24"/>
          <w:rtl/>
        </w:rPr>
        <w:t>ח.ר. נ' ל.ר.</w:t>
      </w:r>
      <w:r>
        <w:rPr>
          <w:rFonts w:ascii="David" w:hAnsi="David" w:cs="David"/>
          <w:sz w:val="24"/>
          <w:szCs w:val="24"/>
          <w:rtl/>
        </w:rPr>
        <w:t xml:space="preserve"> (6.6.2018).</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על הטוען להטעיה להוכיח קיומו של קשר סיבתי סובייקטיבי כפול, בין ההטעיה לבין הטעות ובין הטעות לבין החתימה על העסקה </w:t>
      </w:r>
      <w:r>
        <w:rPr>
          <w:rFonts w:ascii="David" w:hAnsi="David" w:cs="David"/>
          <w:b/>
          <w:bCs/>
          <w:sz w:val="24"/>
          <w:szCs w:val="24"/>
          <w:rtl/>
        </w:rPr>
        <w:t>ראו</w:t>
      </w:r>
      <w:r>
        <w:rPr>
          <w:rFonts w:ascii="David" w:hAnsi="David" w:cs="David"/>
          <w:sz w:val="24"/>
          <w:szCs w:val="24"/>
          <w:rtl/>
        </w:rPr>
        <w:t xml:space="preserve">: ה"פ (מחוזי חיפה) 29046-10-19 </w:t>
      </w:r>
      <w:r>
        <w:rPr>
          <w:rFonts w:ascii="David" w:hAnsi="David" w:cs="David"/>
          <w:b/>
          <w:bCs/>
          <w:sz w:val="24"/>
          <w:szCs w:val="24"/>
          <w:rtl/>
        </w:rPr>
        <w:t>ח' ש' נ' א' ד'</w:t>
      </w:r>
      <w:r>
        <w:rPr>
          <w:rFonts w:ascii="David" w:hAnsi="David" w:cs="David"/>
          <w:sz w:val="24"/>
          <w:szCs w:val="24"/>
          <w:rtl/>
        </w:rPr>
        <w:t xml:space="preserve"> </w:t>
      </w:r>
      <w:r w:rsidRPr="00871141">
        <w:rPr>
          <w:rFonts w:ascii="David" w:hAnsi="David" w:cs="David"/>
          <w:sz w:val="24"/>
          <w:szCs w:val="24"/>
          <w:rtl/>
        </w:rPr>
        <w:t xml:space="preserve">(22.8.2021) כך, שההטעיה תוביל לטעות וזו תניע את הקשר החוזי </w:t>
      </w:r>
      <w:r w:rsidRPr="00871141">
        <w:rPr>
          <w:rFonts w:ascii="David" w:hAnsi="David" w:cs="David"/>
          <w:b/>
          <w:bCs/>
          <w:sz w:val="24"/>
          <w:szCs w:val="24"/>
          <w:rtl/>
        </w:rPr>
        <w:t>ראו</w:t>
      </w:r>
      <w:r w:rsidRPr="00871141">
        <w:rPr>
          <w:rFonts w:ascii="David" w:hAnsi="David" w:cs="David"/>
          <w:sz w:val="24"/>
          <w:szCs w:val="24"/>
          <w:rtl/>
        </w:rPr>
        <w:t xml:space="preserve">: </w:t>
      </w:r>
      <w:r w:rsidRPr="00BD0303">
        <w:rPr>
          <w:rFonts w:ascii="David" w:hAnsi="David" w:cs="David"/>
          <w:sz w:val="24"/>
          <w:szCs w:val="24"/>
          <w:rtl/>
        </w:rPr>
        <w:t>תמ"ש 22228-01-11</w:t>
      </w:r>
      <w:r w:rsidRPr="00871141">
        <w:rPr>
          <w:rFonts w:ascii="David" w:hAnsi="David" w:cs="David"/>
          <w:sz w:val="24"/>
          <w:szCs w:val="24"/>
          <w:rtl/>
        </w:rPr>
        <w:t xml:space="preserve"> </w:t>
      </w:r>
      <w:r>
        <w:rPr>
          <w:rFonts w:ascii="David" w:hAnsi="David" w:cs="David" w:hint="cs"/>
          <w:b/>
          <w:bCs/>
          <w:sz w:val="24"/>
          <w:szCs w:val="24"/>
          <w:rtl/>
        </w:rPr>
        <w:t>א. ל. נ' ה. מ.</w:t>
      </w:r>
      <w:r>
        <w:rPr>
          <w:rFonts w:ascii="David" w:hAnsi="David" w:cs="David" w:hint="cs"/>
          <w:sz w:val="24"/>
          <w:szCs w:val="24"/>
          <w:rtl/>
        </w:rPr>
        <w:t xml:space="preserve"> (13.11.2016), כאשר הוכחת קשר סיבתי הינו תנאי לביטול החוזה לפי סעיף 15 לחוק החוזים </w:t>
      </w:r>
      <w:r>
        <w:rPr>
          <w:rFonts w:ascii="David" w:hAnsi="David" w:cs="David" w:hint="cs"/>
          <w:b/>
          <w:bCs/>
          <w:sz w:val="24"/>
          <w:szCs w:val="24"/>
          <w:rtl/>
        </w:rPr>
        <w:t>ראו</w:t>
      </w:r>
      <w:r>
        <w:rPr>
          <w:rFonts w:ascii="David" w:hAnsi="David" w:cs="David" w:hint="cs"/>
          <w:sz w:val="24"/>
          <w:szCs w:val="24"/>
          <w:rtl/>
        </w:rPr>
        <w:t>: תה"ס 27071-11-19</w:t>
      </w:r>
      <w:r>
        <w:rPr>
          <w:rFonts w:ascii="David" w:hAnsi="David" w:cs="David" w:hint="cs"/>
          <w:b/>
          <w:bCs/>
          <w:sz w:val="24"/>
          <w:szCs w:val="24"/>
          <w:rtl/>
        </w:rPr>
        <w:t xml:space="preserve"> פלונית נ' אלמוני</w:t>
      </w:r>
      <w:r>
        <w:rPr>
          <w:rFonts w:ascii="David" w:hAnsi="David" w:cs="David" w:hint="cs"/>
          <w:sz w:val="24"/>
          <w:szCs w:val="24"/>
          <w:rtl/>
        </w:rPr>
        <w:t xml:space="preserve"> (27.11.2022).</w:t>
      </w: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lastRenderedPageBreak/>
        <w:t>על יסוד פסיקה זו ועל יסוד התשתית העובדתית והראייתית שהונחה לפניי, יש לדחות את הטענה כי הנתבעת הוטעתה על-ידי התובע או באת כוחו בכל הנוגע למעמדו של התובע כיורש עיזבון המנוחה.</w:t>
      </w:r>
    </w:p>
    <w:p w:rsidR="00311DDA" w:rsidRDefault="00311DDA" w:rsidP="00311DDA">
      <w:pPr>
        <w:pStyle w:val="a9"/>
        <w:spacing w:line="360" w:lineRule="auto"/>
        <w:jc w:val="both"/>
        <w:rPr>
          <w:rFonts w:ascii="David" w:hAnsi="David" w:cs="David"/>
          <w:sz w:val="24"/>
          <w:szCs w:val="24"/>
          <w:u w:val="single"/>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u w:val="single"/>
          <w:rtl/>
        </w:rPr>
        <w:t>ראשית</w:t>
      </w:r>
      <w:r>
        <w:rPr>
          <w:rFonts w:ascii="David" w:hAnsi="David" w:cs="David"/>
          <w:sz w:val="24"/>
          <w:szCs w:val="24"/>
          <w:rtl/>
        </w:rPr>
        <w:t xml:space="preserve">, טענת הנתבעת כי היא הבינה שיש צורך בהוכחת מעמדו של התובע כידוע בציבור של המנוחה, כאשר הבת זומנה על-ידי התובע להעיד בעניין זה לבית הדין האזורי לעבודה </w:t>
      </w:r>
      <w:r>
        <w:rPr>
          <w:rFonts w:ascii="David" w:hAnsi="David" w:cs="David"/>
          <w:b/>
          <w:bCs/>
          <w:sz w:val="24"/>
          <w:szCs w:val="24"/>
          <w:rtl/>
        </w:rPr>
        <w:t>ראו: ס' 25 לכתב התביעה בעניין תצהיר ההסתלקות</w:t>
      </w:r>
      <w:r>
        <w:rPr>
          <w:rFonts w:ascii="David" w:hAnsi="David" w:cs="David"/>
          <w:sz w:val="24"/>
          <w:szCs w:val="24"/>
          <w:rtl/>
        </w:rPr>
        <w:t xml:space="preserve"> היא טענה שלא נטענה על-ידי הנתבעת במסגרת ההתנגדות, על-אף שצורפו לכתב ההתנגדות מסמכים מתוך ההליך בבית הדין לעבודה </w:t>
      </w:r>
      <w:r>
        <w:rPr>
          <w:rFonts w:ascii="David" w:hAnsi="David" w:cs="David"/>
          <w:b/>
          <w:bCs/>
          <w:sz w:val="24"/>
          <w:szCs w:val="24"/>
          <w:rtl/>
        </w:rPr>
        <w:t>ראו: עמ' 269-272, 289 לתיק המוצגים</w:t>
      </w:r>
      <w:r>
        <w:rPr>
          <w:rFonts w:ascii="David" w:hAnsi="David" w:cs="David"/>
          <w:sz w:val="24"/>
          <w:szCs w:val="24"/>
          <w:rtl/>
        </w:rPr>
        <w:t xml:space="preserve">. בתוך כך גרסת הנתבעת בעניין זה הינה עדות כבושה שערכה ומשקלה הראייתי מועטים </w:t>
      </w:r>
      <w:r>
        <w:rPr>
          <w:rFonts w:ascii="David" w:hAnsi="David" w:cs="David"/>
          <w:b/>
          <w:bCs/>
          <w:sz w:val="24"/>
          <w:szCs w:val="24"/>
          <w:rtl/>
        </w:rPr>
        <w:t xml:space="preserve">ראו: </w:t>
      </w:r>
      <w:r>
        <w:rPr>
          <w:rFonts w:ascii="David" w:hAnsi="David" w:cs="David"/>
          <w:sz w:val="24"/>
          <w:szCs w:val="24"/>
          <w:rtl/>
        </w:rPr>
        <w:t>ע"פ 5995/21</w:t>
      </w:r>
      <w:r>
        <w:rPr>
          <w:rFonts w:ascii="David" w:hAnsi="David" w:cs="David"/>
          <w:b/>
          <w:bCs/>
          <w:sz w:val="24"/>
          <w:szCs w:val="24"/>
          <w:rtl/>
        </w:rPr>
        <w:t xml:space="preserve"> אבו אלחסנה נ' מדינת ישראל</w:t>
      </w:r>
      <w:r>
        <w:rPr>
          <w:rFonts w:ascii="David" w:hAnsi="David" w:cs="David"/>
          <w:sz w:val="24"/>
          <w:szCs w:val="24"/>
          <w:rtl/>
        </w:rPr>
        <w:t xml:space="preserve"> (16.6.2022).</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u w:val="single"/>
          <w:rtl/>
        </w:rPr>
        <w:t>שנית</w:t>
      </w:r>
      <w:r>
        <w:rPr>
          <w:rFonts w:ascii="David" w:hAnsi="David" w:cs="David"/>
          <w:sz w:val="24"/>
          <w:szCs w:val="24"/>
          <w:rtl/>
        </w:rPr>
        <w:t>, במסגרת הצהרת כוונות הצדדים בהסכם</w:t>
      </w:r>
      <w:r>
        <w:rPr>
          <w:rFonts w:ascii="David" w:hAnsi="David" w:cs="David"/>
          <w:b/>
          <w:bCs/>
          <w:sz w:val="24"/>
          <w:szCs w:val="24"/>
          <w:rtl/>
        </w:rPr>
        <w:t xml:space="preserve"> ראו: ה"הואיל" הראשון להסכם</w:t>
      </w:r>
      <w:r>
        <w:rPr>
          <w:rFonts w:ascii="David" w:hAnsi="David" w:cs="David"/>
          <w:sz w:val="24"/>
          <w:szCs w:val="24"/>
          <w:rtl/>
        </w:rPr>
        <w:t xml:space="preserve"> נכתב על-ידי הצדדים כי הם יורשיה לפי דין של המנוחה והם אף הסכימו </w:t>
      </w:r>
      <w:r>
        <w:rPr>
          <w:rFonts w:ascii="David" w:hAnsi="David" w:cs="David"/>
          <w:b/>
          <w:bCs/>
          <w:sz w:val="24"/>
          <w:szCs w:val="24"/>
          <w:rtl/>
        </w:rPr>
        <w:t>בס' 9 להסכם</w:t>
      </w:r>
      <w:r>
        <w:rPr>
          <w:rFonts w:ascii="David" w:hAnsi="David" w:cs="David"/>
          <w:sz w:val="24"/>
          <w:szCs w:val="24"/>
          <w:rtl/>
        </w:rPr>
        <w:t xml:space="preserve"> כי התובע מתחייב שלא להגיש תביעה כלשהי בעניין זכויות המנוחה מכוח היותו ידוע בציבור. בעניין זה יצוין כי בפסק הדין קבעתי – והערעור על פסק הדין נדחה בהסכמת הצדדים במסגרת עמ"ש 6155-02-22 </w:t>
      </w:r>
      <w:r>
        <w:rPr>
          <w:rFonts w:ascii="David" w:hAnsi="David" w:cs="David"/>
          <w:b/>
          <w:bCs/>
          <w:sz w:val="24"/>
          <w:szCs w:val="24"/>
          <w:rtl/>
        </w:rPr>
        <w:t>ראו: עמ' 463-464 לתיק המוצגים</w:t>
      </w:r>
      <w:r>
        <w:rPr>
          <w:rFonts w:ascii="David" w:hAnsi="David" w:cs="David"/>
          <w:sz w:val="24"/>
          <w:szCs w:val="24"/>
          <w:rtl/>
        </w:rPr>
        <w:t xml:space="preserve"> – בין היתר, כי:</w:t>
      </w:r>
    </w:p>
    <w:p w:rsidR="00311DDA" w:rsidRDefault="00311DDA" w:rsidP="00311DDA">
      <w:pPr>
        <w:pStyle w:val="a9"/>
        <w:spacing w:after="0" w:line="360" w:lineRule="auto"/>
        <w:jc w:val="both"/>
        <w:rPr>
          <w:rFonts w:ascii="David" w:hAnsi="David" w:cs="David"/>
          <w:sz w:val="24"/>
          <w:szCs w:val="24"/>
          <w:rtl/>
        </w:rPr>
      </w:pPr>
    </w:p>
    <w:p w:rsidR="00311DDA" w:rsidRDefault="00311DDA" w:rsidP="00311DDA">
      <w:pPr>
        <w:pStyle w:val="a9"/>
        <w:spacing w:after="0" w:line="360" w:lineRule="auto"/>
        <w:ind w:left="1133" w:right="1134"/>
        <w:jc w:val="both"/>
        <w:rPr>
          <w:rFonts w:ascii="David" w:hAnsi="David" w:cs="David"/>
          <w:i/>
          <w:iCs/>
          <w:sz w:val="24"/>
          <w:szCs w:val="24"/>
        </w:rPr>
      </w:pPr>
      <w:r>
        <w:rPr>
          <w:rFonts w:ascii="David" w:hAnsi="David" w:cs="David"/>
          <w:i/>
          <w:iCs/>
          <w:sz w:val="24"/>
          <w:szCs w:val="24"/>
          <w:rtl/>
        </w:rPr>
        <w:t xml:space="preserve">במקרה שלפניי עסקינן בקשר זוגי שנמשך כשני עשורים והעובדה כי מדובר בפרק זמן ממושך מובילה למסקנה כי לא מדובר בשני זרים אשר התגוררו זה לצד זה "מטעמי נוחות בלבד" </w:t>
      </w:r>
      <w:r>
        <w:rPr>
          <w:rFonts w:ascii="David" w:hAnsi="David" w:cs="David"/>
          <w:b/>
          <w:bCs/>
          <w:i/>
          <w:iCs/>
          <w:sz w:val="24"/>
          <w:szCs w:val="24"/>
          <w:rtl/>
        </w:rPr>
        <w:t>ראו: ס' 9 לכתב ההתנגדות</w:t>
      </w:r>
      <w:r>
        <w:rPr>
          <w:rFonts w:ascii="David" w:hAnsi="David" w:cs="David"/>
          <w:i/>
          <w:iCs/>
          <w:sz w:val="24"/>
          <w:szCs w:val="24"/>
          <w:rtl/>
        </w:rPr>
        <w:t>, אלא מדובר במערכת זוגית יציבה וממושכת.</w:t>
      </w:r>
    </w:p>
    <w:p w:rsidR="00311DDA" w:rsidRDefault="00311DDA" w:rsidP="00311DDA">
      <w:pPr>
        <w:pStyle w:val="a9"/>
        <w:spacing w:line="360" w:lineRule="auto"/>
        <w:ind w:left="1133" w:right="1134"/>
        <w:rPr>
          <w:rFonts w:ascii="David" w:hAnsi="David" w:cs="David"/>
          <w:i/>
          <w:iCs/>
          <w:sz w:val="24"/>
          <w:szCs w:val="24"/>
        </w:rPr>
      </w:pPr>
    </w:p>
    <w:p w:rsidR="00311DDA" w:rsidRDefault="00311DDA" w:rsidP="002B48A5">
      <w:pPr>
        <w:pStyle w:val="a9"/>
        <w:spacing w:after="0" w:line="360" w:lineRule="auto"/>
        <w:ind w:left="1133" w:right="1134"/>
        <w:jc w:val="both"/>
        <w:rPr>
          <w:rFonts w:ascii="David" w:hAnsi="David" w:cs="David"/>
          <w:i/>
          <w:iCs/>
          <w:sz w:val="24"/>
          <w:szCs w:val="24"/>
          <w:rtl/>
        </w:rPr>
      </w:pPr>
      <w:r>
        <w:rPr>
          <w:rFonts w:ascii="David" w:hAnsi="David" w:cs="David"/>
          <w:i/>
          <w:iCs/>
          <w:sz w:val="24"/>
          <w:szCs w:val="24"/>
          <w:rtl/>
        </w:rPr>
        <w:t>בנוסף, בתקופת הקשר הזוגי, כשאם המנוחה התגוררה ב</w:t>
      </w:r>
      <w:r w:rsidR="002B48A5">
        <w:rPr>
          <w:rFonts w:ascii="David" w:hAnsi="David" w:cs="David" w:hint="cs"/>
          <w:i/>
          <w:iCs/>
          <w:sz w:val="24"/>
          <w:szCs w:val="24"/>
          <w:rtl/>
        </w:rPr>
        <w:t>***</w:t>
      </w:r>
      <w:r>
        <w:rPr>
          <w:rFonts w:ascii="David" w:hAnsi="David" w:cs="David"/>
          <w:i/>
          <w:iCs/>
          <w:sz w:val="24"/>
          <w:szCs w:val="24"/>
          <w:rtl/>
        </w:rPr>
        <w:t xml:space="preserve">, בני הזוג ביקרו אותה בדירתה בסופי שבוע </w:t>
      </w:r>
      <w:r>
        <w:rPr>
          <w:rFonts w:ascii="David" w:hAnsi="David" w:cs="David"/>
          <w:b/>
          <w:bCs/>
          <w:i/>
          <w:iCs/>
          <w:sz w:val="24"/>
          <w:szCs w:val="24"/>
          <w:rtl/>
        </w:rPr>
        <w:t>ראו: פרוט' עמ' 10 ש' 12-13</w:t>
      </w:r>
      <w:r>
        <w:rPr>
          <w:rFonts w:ascii="David" w:hAnsi="David" w:cs="David"/>
          <w:i/>
          <w:iCs/>
          <w:sz w:val="24"/>
          <w:szCs w:val="24"/>
          <w:rtl/>
        </w:rPr>
        <w:t xml:space="preserve"> וכאשר עברה להתגורר </w:t>
      </w:r>
      <w:r w:rsidR="002B48A5">
        <w:rPr>
          <w:rFonts w:ascii="David" w:hAnsi="David" w:cs="David" w:hint="cs"/>
          <w:i/>
          <w:iCs/>
          <w:sz w:val="24"/>
          <w:szCs w:val="24"/>
          <w:rtl/>
        </w:rPr>
        <w:t>ב***</w:t>
      </w:r>
      <w:r>
        <w:rPr>
          <w:rFonts w:ascii="David" w:hAnsi="David" w:cs="David"/>
          <w:i/>
          <w:iCs/>
          <w:sz w:val="24"/>
          <w:szCs w:val="24"/>
          <w:rtl/>
        </w:rPr>
        <w:t xml:space="preserve">, בני הזוג ביקרו אותה בתדירות של אחת לשנה </w:t>
      </w:r>
      <w:r>
        <w:rPr>
          <w:rFonts w:ascii="David" w:hAnsi="David" w:cs="David"/>
          <w:b/>
          <w:bCs/>
          <w:i/>
          <w:iCs/>
          <w:sz w:val="24"/>
          <w:szCs w:val="24"/>
          <w:rtl/>
        </w:rPr>
        <w:t>ראו: ס' 24 לתשובה להתנגדות, פרוט' עמ' 10 ש' 14-18, 27-32</w:t>
      </w:r>
      <w:r>
        <w:rPr>
          <w:rFonts w:ascii="David" w:hAnsi="David" w:cs="David"/>
          <w:i/>
          <w:iCs/>
          <w:sz w:val="24"/>
          <w:szCs w:val="24"/>
          <w:rtl/>
        </w:rPr>
        <w:t xml:space="preserve"> כאשר כל ביקור נמשך כחודש ימים </w:t>
      </w:r>
      <w:r>
        <w:rPr>
          <w:rFonts w:ascii="David" w:hAnsi="David" w:cs="David"/>
          <w:b/>
          <w:bCs/>
          <w:i/>
          <w:iCs/>
          <w:sz w:val="24"/>
          <w:szCs w:val="24"/>
          <w:rtl/>
        </w:rPr>
        <w:t>ראו: ס' 24 לתשובה להתנגדות, נספח 10 לתיק המוצגים של המבקש</w:t>
      </w:r>
      <w:r>
        <w:rPr>
          <w:rFonts w:ascii="David" w:hAnsi="David" w:cs="David"/>
          <w:i/>
          <w:iCs/>
          <w:sz w:val="24"/>
          <w:szCs w:val="24"/>
          <w:rtl/>
        </w:rPr>
        <w:t>.</w:t>
      </w:r>
    </w:p>
    <w:p w:rsidR="00311DDA" w:rsidRDefault="00311DDA" w:rsidP="00311DDA">
      <w:pPr>
        <w:pStyle w:val="a9"/>
        <w:spacing w:after="0" w:line="360" w:lineRule="auto"/>
        <w:ind w:left="1133" w:right="1134"/>
        <w:jc w:val="both"/>
        <w:rPr>
          <w:rFonts w:ascii="David" w:hAnsi="David" w:cs="David"/>
          <w:i/>
          <w:iCs/>
          <w:sz w:val="24"/>
          <w:szCs w:val="24"/>
          <w:rtl/>
        </w:rPr>
      </w:pPr>
    </w:p>
    <w:p w:rsidR="00311DDA" w:rsidRDefault="00311DDA" w:rsidP="000F7CEC">
      <w:pPr>
        <w:pStyle w:val="a9"/>
        <w:spacing w:after="0" w:line="360" w:lineRule="auto"/>
        <w:ind w:left="1133" w:right="1134"/>
        <w:jc w:val="both"/>
        <w:rPr>
          <w:rFonts w:ascii="David" w:hAnsi="David" w:cs="David"/>
          <w:i/>
          <w:iCs/>
          <w:sz w:val="24"/>
          <w:szCs w:val="24"/>
        </w:rPr>
      </w:pPr>
      <w:r>
        <w:rPr>
          <w:rFonts w:ascii="David" w:hAnsi="David" w:cs="David"/>
          <w:i/>
          <w:iCs/>
          <w:sz w:val="24"/>
          <w:szCs w:val="24"/>
          <w:rtl/>
        </w:rPr>
        <w:t>בעת הביקורים ב</w:t>
      </w:r>
      <w:r w:rsidR="000F7CEC">
        <w:rPr>
          <w:rFonts w:ascii="David" w:hAnsi="David" w:cs="David" w:hint="cs"/>
          <w:i/>
          <w:iCs/>
          <w:sz w:val="24"/>
          <w:szCs w:val="24"/>
          <w:rtl/>
        </w:rPr>
        <w:t>***</w:t>
      </w:r>
      <w:r>
        <w:rPr>
          <w:rFonts w:ascii="David" w:hAnsi="David" w:cs="David"/>
          <w:i/>
          <w:iCs/>
          <w:sz w:val="24"/>
          <w:szCs w:val="24"/>
          <w:rtl/>
        </w:rPr>
        <w:t xml:space="preserve">, בני הזוג בילו עם בני משפחתה של המנוחה </w:t>
      </w:r>
      <w:r>
        <w:rPr>
          <w:rFonts w:ascii="David" w:hAnsi="David" w:cs="David"/>
          <w:b/>
          <w:bCs/>
          <w:i/>
          <w:iCs/>
          <w:sz w:val="24"/>
          <w:szCs w:val="24"/>
          <w:rtl/>
        </w:rPr>
        <w:t>ראו: פרוט' עמ' 12 ש' 7-8</w:t>
      </w:r>
      <w:r>
        <w:rPr>
          <w:rFonts w:ascii="David" w:hAnsi="David" w:cs="David"/>
          <w:i/>
          <w:iCs/>
          <w:sz w:val="24"/>
          <w:szCs w:val="24"/>
          <w:rtl/>
        </w:rPr>
        <w:t xml:space="preserve"> והמנוחה רכשה מתנות לקרובי המשפחה של המבקש </w:t>
      </w:r>
      <w:r>
        <w:rPr>
          <w:rFonts w:ascii="David" w:hAnsi="David" w:cs="David"/>
          <w:b/>
          <w:bCs/>
          <w:i/>
          <w:iCs/>
          <w:sz w:val="24"/>
          <w:szCs w:val="24"/>
          <w:rtl/>
        </w:rPr>
        <w:t>ראו: פרוט' עמ' 12 ש' 13-14</w:t>
      </w:r>
      <w:r>
        <w:rPr>
          <w:rFonts w:ascii="David" w:hAnsi="David" w:cs="David"/>
          <w:i/>
          <w:iCs/>
          <w:sz w:val="24"/>
          <w:szCs w:val="24"/>
          <w:rtl/>
        </w:rPr>
        <w:t>.</w:t>
      </w:r>
    </w:p>
    <w:p w:rsidR="00311DDA" w:rsidRDefault="00311DDA" w:rsidP="00311DDA">
      <w:pPr>
        <w:pStyle w:val="a9"/>
        <w:spacing w:after="0" w:line="360" w:lineRule="auto"/>
        <w:ind w:left="1133" w:right="1134"/>
        <w:jc w:val="both"/>
        <w:rPr>
          <w:rFonts w:ascii="David" w:hAnsi="David" w:cs="David"/>
          <w:i/>
          <w:iCs/>
          <w:sz w:val="24"/>
          <w:szCs w:val="24"/>
          <w:rtl/>
        </w:rPr>
      </w:pPr>
    </w:p>
    <w:p w:rsidR="00311DDA" w:rsidRDefault="00311DDA" w:rsidP="005D595B">
      <w:pPr>
        <w:pStyle w:val="a9"/>
        <w:spacing w:after="0" w:line="360" w:lineRule="auto"/>
        <w:ind w:left="1133" w:right="1134"/>
        <w:jc w:val="both"/>
        <w:rPr>
          <w:rFonts w:ascii="David" w:hAnsi="David" w:cs="David"/>
          <w:i/>
          <w:iCs/>
          <w:sz w:val="24"/>
          <w:szCs w:val="24"/>
          <w:rtl/>
        </w:rPr>
      </w:pPr>
      <w:r>
        <w:rPr>
          <w:rFonts w:ascii="David" w:hAnsi="David" w:cs="David"/>
          <w:i/>
          <w:iCs/>
          <w:sz w:val="24"/>
          <w:szCs w:val="24"/>
          <w:rtl/>
        </w:rPr>
        <w:lastRenderedPageBreak/>
        <w:t xml:space="preserve">ראיה משמעותית נוספת לכך שבני הזוג היו ידועים בציבור הינה כי על המצבה של המנוחה נכתב "ביתי </w:t>
      </w:r>
      <w:r>
        <w:rPr>
          <w:rFonts w:ascii="David" w:hAnsi="David" w:cs="David"/>
          <w:b/>
          <w:bCs/>
          <w:i/>
          <w:iCs/>
          <w:sz w:val="24"/>
          <w:szCs w:val="24"/>
          <w:u w:val="single"/>
          <w:rtl/>
        </w:rPr>
        <w:t>אשתי</w:t>
      </w:r>
      <w:r>
        <w:rPr>
          <w:rFonts w:ascii="David" w:hAnsi="David" w:cs="David"/>
          <w:i/>
          <w:iCs/>
          <w:sz w:val="24"/>
          <w:szCs w:val="24"/>
          <w:rtl/>
        </w:rPr>
        <w:t xml:space="preserve"> ואחותנו היקרה </w:t>
      </w:r>
      <w:r w:rsidR="00DA5D2A">
        <w:rPr>
          <w:rFonts w:ascii="David" w:hAnsi="David" w:cs="David" w:hint="cs"/>
          <w:i/>
          <w:iCs/>
          <w:sz w:val="24"/>
          <w:szCs w:val="24"/>
          <w:rtl/>
        </w:rPr>
        <w:t>***</w:t>
      </w:r>
      <w:r>
        <w:rPr>
          <w:rFonts w:ascii="David" w:hAnsi="David" w:cs="David"/>
          <w:i/>
          <w:iCs/>
          <w:sz w:val="24"/>
          <w:szCs w:val="24"/>
          <w:rtl/>
        </w:rPr>
        <w:t xml:space="preserve"> </w:t>
      </w:r>
      <w:r w:rsidR="00DA5D2A">
        <w:rPr>
          <w:rFonts w:ascii="David" w:hAnsi="David" w:cs="David" w:hint="cs"/>
          <w:i/>
          <w:iCs/>
          <w:sz w:val="24"/>
          <w:szCs w:val="24"/>
          <w:rtl/>
        </w:rPr>
        <w:t>***</w:t>
      </w:r>
      <w:r>
        <w:rPr>
          <w:rFonts w:ascii="David" w:hAnsi="David" w:cs="David"/>
          <w:i/>
          <w:iCs/>
          <w:sz w:val="24"/>
          <w:szCs w:val="24"/>
          <w:rtl/>
        </w:rPr>
        <w:t xml:space="preserve"> (ההדגשה לא במקור – פ.ג.)" </w:t>
      </w:r>
      <w:r>
        <w:rPr>
          <w:rFonts w:ascii="David" w:hAnsi="David" w:cs="David"/>
          <w:b/>
          <w:bCs/>
          <w:i/>
          <w:iCs/>
          <w:sz w:val="24"/>
          <w:szCs w:val="24"/>
          <w:rtl/>
        </w:rPr>
        <w:t>ראו: נספח 4 לתיק המוצגים של המבקש</w:t>
      </w:r>
      <w:r>
        <w:rPr>
          <w:rFonts w:ascii="David" w:hAnsi="David" w:cs="David"/>
          <w:i/>
          <w:iCs/>
          <w:sz w:val="24"/>
          <w:szCs w:val="24"/>
          <w:rtl/>
        </w:rPr>
        <w:t xml:space="preserve">. ראיה זו מתעצמת ומקבלת משמעות נוספת לנוכח העובדה כי המצבה הוזמנה על ידי </w:t>
      </w:r>
      <w:r w:rsidR="005D595B">
        <w:rPr>
          <w:rFonts w:ascii="David" w:hAnsi="David" w:cs="David" w:hint="cs"/>
          <w:i/>
          <w:iCs/>
          <w:sz w:val="24"/>
          <w:szCs w:val="24"/>
          <w:rtl/>
        </w:rPr>
        <w:t>***</w:t>
      </w:r>
      <w:r>
        <w:rPr>
          <w:rFonts w:ascii="David" w:hAnsi="David" w:cs="David"/>
          <w:i/>
          <w:iCs/>
          <w:sz w:val="24"/>
          <w:szCs w:val="24"/>
          <w:rtl/>
        </w:rPr>
        <w:t xml:space="preserve"> </w:t>
      </w:r>
      <w:r>
        <w:rPr>
          <w:rFonts w:ascii="David" w:hAnsi="David" w:cs="David"/>
          <w:b/>
          <w:bCs/>
          <w:i/>
          <w:iCs/>
          <w:sz w:val="24"/>
          <w:szCs w:val="24"/>
          <w:rtl/>
        </w:rPr>
        <w:t>ראו: נספח 15 לתיק המוצגים של המתנגדות</w:t>
      </w:r>
      <w:r>
        <w:rPr>
          <w:rFonts w:ascii="David" w:hAnsi="David" w:cs="David"/>
          <w:i/>
          <w:iCs/>
          <w:sz w:val="24"/>
          <w:szCs w:val="24"/>
          <w:rtl/>
        </w:rPr>
        <w:t xml:space="preserve">, בשיתוף עם המבקש </w:t>
      </w:r>
      <w:r>
        <w:rPr>
          <w:rFonts w:ascii="David" w:hAnsi="David" w:cs="David"/>
          <w:b/>
          <w:bCs/>
          <w:i/>
          <w:iCs/>
          <w:sz w:val="24"/>
          <w:szCs w:val="24"/>
          <w:rtl/>
        </w:rPr>
        <w:t xml:space="preserve">ראו: פרוט' עמ' 13 ש' 27-28 </w:t>
      </w:r>
      <w:r>
        <w:rPr>
          <w:rFonts w:ascii="David" w:hAnsi="David" w:cs="David"/>
          <w:i/>
          <w:iCs/>
          <w:sz w:val="24"/>
          <w:szCs w:val="24"/>
          <w:rtl/>
        </w:rPr>
        <w:t>והדעת נותנת כי הכיתוב "אשתי" נעשה על דעת המתנגדות ותוך הכרה מלאה של מערכת היחסים בין בני הזוג."</w:t>
      </w:r>
    </w:p>
    <w:p w:rsidR="00DF4B4E" w:rsidRDefault="00DF4B4E" w:rsidP="005D595B">
      <w:pPr>
        <w:pStyle w:val="a9"/>
        <w:spacing w:after="0" w:line="360" w:lineRule="auto"/>
        <w:ind w:left="1133" w:right="1134"/>
        <w:jc w:val="both"/>
        <w:rPr>
          <w:rFonts w:ascii="David" w:hAnsi="David" w:cs="David"/>
          <w:i/>
          <w:iCs/>
          <w:sz w:val="24"/>
          <w:szCs w:val="24"/>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t>על אף שפסק הדין ניתן לאחר שהצדדים חתמו על ההסכם ועל תצהיר ההסתלקות, העובדות המצוינות בפסק הדין היו ידועות לנתבעת בעת חתימתה על ההסכם ועל תצהיר ההסתלקות ולא ניתן לקבל את טענתה כי התעורר בליבה ספק בכל הנוגע למעמדו של התובע כידוע בציבור מקום בו היא הסכימה, למשל, שעל המצבה של המנוחה ייכתב כי המנוחה הייתה אשתו של התובע.</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u w:val="single"/>
          <w:rtl/>
        </w:rPr>
        <w:t>שלישית</w:t>
      </w:r>
      <w:r>
        <w:rPr>
          <w:rFonts w:ascii="David" w:hAnsi="David" w:cs="David"/>
          <w:sz w:val="24"/>
          <w:szCs w:val="24"/>
          <w:rtl/>
        </w:rPr>
        <w:t xml:space="preserve">, הנתבעת הייתה מיוצגת לאורך כל המשא ומתן בעניין חלוקת עיזבון המנוחה על-ידי עורכת דין (להלן: </w:t>
      </w:r>
      <w:r>
        <w:rPr>
          <w:rFonts w:ascii="David" w:hAnsi="David" w:cs="David"/>
          <w:b/>
          <w:bCs/>
          <w:sz w:val="24"/>
          <w:szCs w:val="24"/>
          <w:rtl/>
        </w:rPr>
        <w:t>"עורכת הדין"</w:t>
      </w:r>
      <w:r>
        <w:rPr>
          <w:rFonts w:ascii="David" w:hAnsi="David" w:cs="David"/>
          <w:sz w:val="24"/>
          <w:szCs w:val="24"/>
          <w:rtl/>
        </w:rPr>
        <w:t xml:space="preserve">). את טענת הנתבעת כי היא קיבלה ייעוץ משפטי בלבד </w:t>
      </w:r>
      <w:r>
        <w:rPr>
          <w:rFonts w:ascii="David" w:hAnsi="David" w:cs="David"/>
          <w:b/>
          <w:bCs/>
          <w:sz w:val="24"/>
          <w:szCs w:val="24"/>
          <w:rtl/>
        </w:rPr>
        <w:t>ראו: ס' 55 לכתב התביעה בעניין תצהיר ההסתלקות</w:t>
      </w:r>
      <w:r>
        <w:rPr>
          <w:rFonts w:ascii="David" w:hAnsi="David" w:cs="David"/>
          <w:sz w:val="24"/>
          <w:szCs w:val="24"/>
          <w:rtl/>
        </w:rPr>
        <w:t xml:space="preserve"> לא ניתן לקבל. מהתשתית הראייתית שהונחה לפניי עולה כי הנתבעת הייתה מיוצגת במהלך המשא ומתן עם התובע. במסגרת משא ומתן זה התקיימה התכתבות ממושכת בין באת כוח התובע לבין עורכת הדין ובמסגרתה:</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t xml:space="preserve">הודעה ליורש על-פי דין הומצאה לנתבעת באמצעות עורכת הדין </w:t>
      </w:r>
      <w:r>
        <w:rPr>
          <w:rFonts w:ascii="David" w:hAnsi="David" w:cs="David"/>
          <w:b/>
          <w:bCs/>
          <w:sz w:val="24"/>
          <w:szCs w:val="24"/>
          <w:rtl/>
        </w:rPr>
        <w:t>ראו: עמ' 145 לתיק המוצגים</w:t>
      </w:r>
      <w:r>
        <w:rPr>
          <w:rFonts w:ascii="David" w:hAnsi="David" w:cs="David"/>
          <w:sz w:val="24"/>
          <w:szCs w:val="24"/>
          <w:rtl/>
        </w:rPr>
        <w:t>;</w:t>
      </w:r>
    </w:p>
    <w:p w:rsidR="00311DDA" w:rsidRDefault="00311DDA" w:rsidP="00311DDA">
      <w:pPr>
        <w:pStyle w:val="a9"/>
        <w:spacing w:line="360" w:lineRule="auto"/>
        <w:jc w:val="both"/>
        <w:rPr>
          <w:rFonts w:ascii="David" w:hAnsi="David" w:cs="David"/>
          <w:sz w:val="24"/>
          <w:szCs w:val="24"/>
          <w:u w:val="single"/>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t xml:space="preserve">באת כוח התובע שלחה לעורכת הדין באמצעות דוא"ל מסמכים בעניין זימון הבת לבית הדין לעבודה </w:t>
      </w:r>
      <w:r>
        <w:rPr>
          <w:rFonts w:ascii="David" w:hAnsi="David" w:cs="David"/>
          <w:b/>
          <w:bCs/>
          <w:sz w:val="24"/>
          <w:szCs w:val="24"/>
          <w:rtl/>
        </w:rPr>
        <w:t>ראו: עמ' 131-132, 326-328 לתיק המוצגים</w:t>
      </w:r>
      <w:r>
        <w:rPr>
          <w:rFonts w:ascii="David" w:hAnsi="David" w:cs="David"/>
          <w:sz w:val="24"/>
          <w:szCs w:val="24"/>
          <w:rtl/>
        </w:rPr>
        <w:t>;</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t xml:space="preserve">נקבעה פגישה בין באת כוח התובע לבין עורכת הדין </w:t>
      </w:r>
      <w:r>
        <w:rPr>
          <w:rFonts w:ascii="David" w:hAnsi="David" w:cs="David"/>
          <w:b/>
          <w:bCs/>
          <w:sz w:val="24"/>
          <w:szCs w:val="24"/>
          <w:rtl/>
        </w:rPr>
        <w:t>ראו: עמ' 329-331 לתיק המוצגים</w:t>
      </w:r>
      <w:r>
        <w:rPr>
          <w:rFonts w:ascii="David" w:hAnsi="David" w:cs="David"/>
          <w:sz w:val="24"/>
          <w:szCs w:val="24"/>
          <w:rtl/>
        </w:rPr>
        <w:t>;</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t xml:space="preserve">נמסרו לבאת כוח התובע מאת עורכת הדין תעודות זהות ועקרונות להסכם בין יורשים וביניהם כי עיזבון המנוחה יחולק ביחס של 65% לטובת התובע ו-35% לטובת הנתבעת ונערכה גם התכתבות בעניין זה אשר כללה העברת מסמכים וטיוטות הסכם </w:t>
      </w:r>
      <w:r>
        <w:rPr>
          <w:rFonts w:ascii="David" w:hAnsi="David" w:cs="David"/>
          <w:b/>
          <w:bCs/>
          <w:sz w:val="24"/>
          <w:szCs w:val="24"/>
          <w:rtl/>
        </w:rPr>
        <w:t>ראו: עמ' 332-346 לתיק המוצגים</w:t>
      </w:r>
      <w:r>
        <w:rPr>
          <w:rFonts w:ascii="David" w:hAnsi="David" w:cs="David"/>
          <w:sz w:val="24"/>
          <w:szCs w:val="24"/>
          <w:rtl/>
        </w:rPr>
        <w:t>.</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lastRenderedPageBreak/>
        <w:t>למותר לציין כי ההתכתבות בין באת כוח התובע לבין עורכת הדין נמשכה בין החודשים אוגוסט 2018 לינואר 2019 כך שיש לדחות את טענת הנתבעת כי היא קיבלה ייעוץ משפטי בלבד מאת עורכת הדין.</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t xml:space="preserve">ער אני לטענת הנתבעת כי נערכה פגישה בין הבת ובעלה לבין באת כוח התובע, במסגרתה ניתן להם הסבר, אשר בא לידי ביטוי, במסמך בכתב באשר לאופן חלוקת העיזבון </w:t>
      </w:r>
      <w:r>
        <w:rPr>
          <w:rFonts w:ascii="David" w:hAnsi="David" w:cs="David"/>
          <w:b/>
          <w:bCs/>
          <w:sz w:val="24"/>
          <w:szCs w:val="24"/>
          <w:rtl/>
        </w:rPr>
        <w:t>ראו: עמ' 129-130 לתיק המוצגים</w:t>
      </w:r>
      <w:r>
        <w:rPr>
          <w:rFonts w:ascii="David" w:hAnsi="David" w:cs="David"/>
          <w:sz w:val="24"/>
          <w:szCs w:val="24"/>
          <w:rtl/>
        </w:rPr>
        <w:t xml:space="preserve">. יחד עם זאת, לטעמי, כשם שפגישה עם עורך דין לצורך עשיית צוואה "מנתקת" פעולות שנעשו לפני פגישה זו </w:t>
      </w:r>
      <w:r>
        <w:rPr>
          <w:rFonts w:ascii="David" w:hAnsi="David" w:cs="David"/>
          <w:b/>
          <w:bCs/>
          <w:sz w:val="24"/>
          <w:szCs w:val="24"/>
          <w:rtl/>
        </w:rPr>
        <w:t xml:space="preserve">ראו: </w:t>
      </w:r>
      <w:r>
        <w:rPr>
          <w:rFonts w:ascii="David" w:hAnsi="David" w:cs="David"/>
          <w:sz w:val="24"/>
          <w:szCs w:val="24"/>
          <w:rtl/>
        </w:rPr>
        <w:t xml:space="preserve">עמ"ש 35500-05-16 </w:t>
      </w:r>
      <w:r>
        <w:rPr>
          <w:rFonts w:ascii="David" w:hAnsi="David" w:cs="David"/>
          <w:b/>
          <w:bCs/>
          <w:sz w:val="24"/>
          <w:szCs w:val="24"/>
          <w:rtl/>
        </w:rPr>
        <w:t xml:space="preserve">מ' מ' נ' ג' ש' </w:t>
      </w:r>
      <w:r>
        <w:rPr>
          <w:rFonts w:ascii="David" w:hAnsi="David" w:cs="David"/>
          <w:sz w:val="24"/>
          <w:szCs w:val="24"/>
          <w:rtl/>
        </w:rPr>
        <w:t>(6.11.2016)</w:t>
      </w:r>
      <w:r>
        <w:rPr>
          <w:rFonts w:ascii="David" w:hAnsi="David" w:cs="David"/>
          <w:b/>
          <w:bCs/>
          <w:sz w:val="24"/>
          <w:szCs w:val="24"/>
          <w:rtl/>
        </w:rPr>
        <w:t xml:space="preserve"> </w:t>
      </w:r>
      <w:r>
        <w:rPr>
          <w:rFonts w:ascii="David" w:hAnsi="David" w:cs="David"/>
          <w:sz w:val="24"/>
          <w:szCs w:val="24"/>
          <w:rtl/>
        </w:rPr>
        <w:t>כך גם הייצוג על-ידי עורכת הדין במשא ומתן בעניין חלוקת עיזבון המנוחה, "מנתק" ואף מאיין כל הסבר שניתן לנתבעת או למי מטעמה קודם לכן.</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u w:val="single"/>
          <w:rtl/>
        </w:rPr>
        <w:t>רביעית</w:t>
      </w:r>
      <w:r>
        <w:rPr>
          <w:rFonts w:ascii="David" w:hAnsi="David" w:cs="David"/>
          <w:sz w:val="24"/>
          <w:szCs w:val="24"/>
          <w:rtl/>
        </w:rPr>
        <w:t>, במסגרת הצהרת כוונות הצדדים</w:t>
      </w:r>
      <w:r>
        <w:rPr>
          <w:rFonts w:ascii="David" w:hAnsi="David" w:cs="David"/>
          <w:b/>
          <w:bCs/>
          <w:sz w:val="24"/>
          <w:szCs w:val="24"/>
          <w:rtl/>
        </w:rPr>
        <w:t xml:space="preserve"> ראו: ה"הואיל" השני להסכם</w:t>
      </w:r>
      <w:r>
        <w:rPr>
          <w:rFonts w:ascii="David" w:hAnsi="David" w:cs="David"/>
          <w:sz w:val="24"/>
          <w:szCs w:val="24"/>
          <w:rtl/>
        </w:rPr>
        <w:t xml:space="preserve"> הסכימו הצדדים, בין היתר, כי הם מסדירים במסגרתו את איזון המשאבים בין התובע למנוחה </w:t>
      </w:r>
      <w:r>
        <w:rPr>
          <w:rFonts w:ascii="David" w:hAnsi="David" w:cs="David"/>
          <w:b/>
          <w:bCs/>
          <w:sz w:val="24"/>
          <w:szCs w:val="24"/>
          <w:rtl/>
        </w:rPr>
        <w:t xml:space="preserve">ובס' 9 להסכם </w:t>
      </w:r>
      <w:r>
        <w:rPr>
          <w:rFonts w:ascii="David" w:hAnsi="David" w:cs="David"/>
          <w:sz w:val="24"/>
          <w:szCs w:val="24"/>
          <w:rtl/>
        </w:rPr>
        <w:t>וכי התובע לא יגיש כל תביעה לסעד לפיו "מחצית מזכויותיה של המנוחה שייכים לו מכוח חזקת השיתוף ו/או..." [כך במקור – פ"ג].</w:t>
      </w:r>
    </w:p>
    <w:p w:rsidR="00E52A71" w:rsidRDefault="00E52A71"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t>במילים אחרות, בעת כריתת ההסכם הנתבעת לא פסלה את האפשרות כי מכוח חזקת השיתוף ומכוח דיני הירושה יחד יזכה התובע ב-75% מעיזבון המנוחה</w:t>
      </w:r>
      <w:r w:rsidR="006B503B">
        <w:rPr>
          <w:rFonts w:ascii="David" w:hAnsi="David" w:cs="David" w:hint="cs"/>
          <w:sz w:val="24"/>
          <w:szCs w:val="24"/>
          <w:rtl/>
        </w:rPr>
        <w:t>,</w:t>
      </w:r>
      <w:r>
        <w:rPr>
          <w:rFonts w:ascii="David" w:hAnsi="David" w:cs="David"/>
          <w:sz w:val="24"/>
          <w:szCs w:val="24"/>
          <w:rtl/>
        </w:rPr>
        <w:t xml:space="preserve"> ולא ב-65% כפי שהסכימו הצדדים בהסכם. כלומר, גם אם לאחר כריתת ההסכם עלה בלבה של הנתבעת ספק באשר למעמדו של התובע כיורש המנוחה, יש לראות בנתבעת כמי שנטלה סיכון תוך בחינת סיכוי לזכייה בשיעור נמוך יותר בעיזבון המנוחה.</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jc w:val="both"/>
        <w:rPr>
          <w:rFonts w:ascii="David" w:hAnsi="David" w:cs="David"/>
          <w:sz w:val="24"/>
          <w:szCs w:val="24"/>
          <w:rtl/>
        </w:rPr>
      </w:pPr>
      <w:r>
        <w:rPr>
          <w:rFonts w:ascii="David" w:hAnsi="David" w:cs="David"/>
          <w:sz w:val="24"/>
          <w:szCs w:val="24"/>
          <w:rtl/>
        </w:rPr>
        <w:t xml:space="preserve">בת"ע 46206-03-21 </w:t>
      </w:r>
      <w:r>
        <w:rPr>
          <w:rFonts w:ascii="David" w:hAnsi="David" w:cs="David"/>
          <w:b/>
          <w:bCs/>
          <w:sz w:val="24"/>
          <w:szCs w:val="24"/>
          <w:rtl/>
        </w:rPr>
        <w:t xml:space="preserve">מ. נ' האפוטרופוס הכללי </w:t>
      </w:r>
      <w:r>
        <w:rPr>
          <w:rFonts w:ascii="David" w:hAnsi="David" w:cs="David"/>
          <w:sz w:val="24"/>
          <w:szCs w:val="24"/>
          <w:rtl/>
        </w:rPr>
        <w:t>(20.12.2020) נפסק כי:</w:t>
      </w:r>
    </w:p>
    <w:p w:rsidR="00311DDA" w:rsidRDefault="00311DDA" w:rsidP="00311DDA">
      <w:pPr>
        <w:pStyle w:val="a9"/>
        <w:spacing w:line="360" w:lineRule="auto"/>
        <w:jc w:val="both"/>
        <w:rPr>
          <w:rFonts w:ascii="David" w:hAnsi="David" w:cs="David"/>
          <w:sz w:val="24"/>
          <w:szCs w:val="24"/>
          <w:rtl/>
        </w:rPr>
      </w:pPr>
    </w:p>
    <w:p w:rsidR="00311DDA" w:rsidRDefault="00311DDA" w:rsidP="00311DDA">
      <w:pPr>
        <w:pStyle w:val="a9"/>
        <w:spacing w:line="360" w:lineRule="auto"/>
        <w:ind w:left="1133" w:right="1134"/>
        <w:jc w:val="both"/>
        <w:rPr>
          <w:rFonts w:ascii="David" w:hAnsi="David" w:cs="David"/>
          <w:sz w:val="24"/>
          <w:szCs w:val="24"/>
          <w:rtl/>
        </w:rPr>
      </w:pPr>
      <w:r>
        <w:rPr>
          <w:rFonts w:ascii="David" w:hAnsi="David" w:cs="David"/>
          <w:sz w:val="24"/>
          <w:szCs w:val="24"/>
          <w:rtl/>
        </w:rPr>
        <w:t xml:space="preserve">"הגעה להסכם פשרה מגלמת בתוכה סיכונים וסיכויים. בהסכמתו להסכם הפשרה נוטל על עצמו צד להסכם את הסיכון לגבי המצב המשפטי הקיים. כאשר אותו צד מודע לכך שידיעתו לגבי המצב המשפטי אינה שלמה ובכל זאת מחליט להסכם, אין הוא זכאי להעלות טענת טעות בקשר לנתון זה, שכן הוא נטל על עצמו את הסיכון לגביו. כלומר, כאשר אחד הצדדים מודע לסיכונים ולסיכויים המגולמים בהסכם הפשרה, אין מקום להסתמך על דיני הטעות, שהרי מדובר לכל היותר בטעות שבכדאיות העסקה (ראו: </w:t>
      </w:r>
      <w:r w:rsidRPr="00BD0303">
        <w:rPr>
          <w:rFonts w:ascii="David" w:hAnsi="David" w:cs="David"/>
          <w:sz w:val="24"/>
          <w:szCs w:val="24"/>
          <w:rtl/>
        </w:rPr>
        <w:t>בש"א 1636/08</w:t>
      </w:r>
      <w:r w:rsidRPr="00871141">
        <w:rPr>
          <w:rFonts w:ascii="David" w:hAnsi="David" w:cs="David"/>
          <w:sz w:val="24"/>
          <w:szCs w:val="24"/>
          <w:rtl/>
        </w:rPr>
        <w:t xml:space="preserve"> (ראשל"צ) פרוכט נ' עירית ראשון לציון [פורסם בנבו] (27.4.2008); </w:t>
      </w:r>
      <w:r w:rsidRPr="00BD0303">
        <w:rPr>
          <w:rFonts w:ascii="David" w:hAnsi="David" w:cs="David"/>
          <w:sz w:val="24"/>
          <w:szCs w:val="24"/>
          <w:rtl/>
        </w:rPr>
        <w:t>ה"פ (י-ם) 7326/08</w:t>
      </w:r>
      <w:r w:rsidRPr="00871141">
        <w:rPr>
          <w:rFonts w:ascii="David" w:hAnsi="David" w:cs="David"/>
          <w:sz w:val="24"/>
          <w:szCs w:val="24"/>
          <w:rtl/>
        </w:rPr>
        <w:t xml:space="preserve"> מירב עמר נ' תום חביב [פורסם בנבו] </w:t>
      </w:r>
      <w:r>
        <w:rPr>
          <w:rFonts w:ascii="David" w:hAnsi="David" w:cs="David"/>
          <w:sz w:val="24"/>
          <w:szCs w:val="24"/>
          <w:rtl/>
        </w:rPr>
        <w:t>(26.11.2008)"</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1"/>
        <w:numPr>
          <w:ilvl w:val="0"/>
          <w:numId w:val="1"/>
        </w:numPr>
        <w:spacing w:line="360" w:lineRule="auto"/>
        <w:jc w:val="both"/>
        <w:rPr>
          <w:rFonts w:ascii="David" w:hAnsi="David"/>
          <w:b/>
          <w:bCs/>
          <w:noProof w:val="0"/>
          <w:rtl/>
        </w:rPr>
      </w:pPr>
      <w:r>
        <w:rPr>
          <w:rFonts w:ascii="David" w:hAnsi="David"/>
          <w:noProof w:val="0"/>
          <w:rtl/>
        </w:rPr>
        <w:t>על יסוד כל אלה, אני קובע כי תצהיר ההסתלקות הינו תצהיר תקף ומקבל את התביעה.</w:t>
      </w:r>
    </w:p>
    <w:p w:rsidR="00311DDA" w:rsidRDefault="00311DDA" w:rsidP="00311DDA">
      <w:pPr>
        <w:spacing w:line="360" w:lineRule="auto"/>
        <w:jc w:val="both"/>
        <w:rPr>
          <w:rFonts w:ascii="David" w:hAnsi="David"/>
          <w:noProof w:val="0"/>
          <w:u w:val="single"/>
        </w:rPr>
      </w:pPr>
    </w:p>
    <w:p w:rsidR="00311DDA" w:rsidRDefault="00311DDA" w:rsidP="00311DDA">
      <w:pPr>
        <w:spacing w:line="360" w:lineRule="auto"/>
        <w:jc w:val="both"/>
        <w:rPr>
          <w:rFonts w:ascii="David" w:hAnsi="David"/>
          <w:u w:val="single"/>
          <w:rtl/>
        </w:rPr>
      </w:pPr>
      <w:r>
        <w:rPr>
          <w:rFonts w:ascii="David" w:hAnsi="David"/>
          <w:u w:val="single"/>
          <w:rtl/>
        </w:rPr>
        <w:t>תוקפו של ההסכם</w:t>
      </w:r>
    </w:p>
    <w:p w:rsidR="00311DDA" w:rsidRDefault="00311DDA" w:rsidP="00311DDA">
      <w:pPr>
        <w:pStyle w:val="1"/>
        <w:spacing w:line="360" w:lineRule="auto"/>
        <w:jc w:val="both"/>
        <w:rPr>
          <w:rFonts w:ascii="David" w:hAnsi="David"/>
          <w:b/>
          <w:bCs/>
          <w:noProof w:val="0"/>
        </w:rPr>
      </w:pPr>
    </w:p>
    <w:p w:rsidR="00311DDA" w:rsidRDefault="00311DDA" w:rsidP="00311DDA">
      <w:pPr>
        <w:pStyle w:val="a9"/>
        <w:numPr>
          <w:ilvl w:val="0"/>
          <w:numId w:val="1"/>
        </w:numPr>
        <w:spacing w:line="360" w:lineRule="auto"/>
        <w:jc w:val="both"/>
        <w:rPr>
          <w:rFonts w:ascii="David" w:hAnsi="David" w:cs="David"/>
          <w:sz w:val="24"/>
          <w:szCs w:val="24"/>
        </w:rPr>
      </w:pPr>
      <w:r>
        <w:rPr>
          <w:rFonts w:ascii="David" w:hAnsi="David" w:cs="David"/>
          <w:sz w:val="24"/>
          <w:szCs w:val="24"/>
          <w:rtl/>
        </w:rPr>
        <w:t>בשל העובדה כי תצהיר ההסתלקות וההסכם נחתמו בו ביום, מרבית הטענות שהעלתה הנתבעת בקשר להסכם אינן שונות במהותן מהטענות שהועלו בקשר לתצהיר ההסתלקות ודין טענות אלה להידחות מהנימוקים המפורטים לעיל.</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בעניין ההסכם, הועלו על-ידי הנתבעת טענות נוספות ואולם דינן להידחות. </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ס' 20 לחוק החוזים קובע דרך לביטול הסכם והיא כדלהלן:</w:t>
      </w:r>
    </w:p>
    <w:p w:rsidR="00311DDA" w:rsidRDefault="00311DDA" w:rsidP="00311DDA">
      <w:pPr>
        <w:spacing w:line="360" w:lineRule="auto"/>
        <w:ind w:left="1133" w:right="1134"/>
        <w:jc w:val="both"/>
        <w:rPr>
          <w:rFonts w:ascii="David" w:hAnsi="David"/>
          <w:rtl/>
        </w:rPr>
      </w:pPr>
      <w:r>
        <w:rPr>
          <w:rFonts w:ascii="David" w:hAnsi="David"/>
          <w:b/>
          <w:bCs/>
          <w:color w:val="000000"/>
          <w:shd w:val="clear" w:color="auto" w:fill="FFFFFF"/>
          <w:rtl/>
        </w:rPr>
        <w:t>"ביטול החוזה יהיה בהודעת המתקשר לצד השני תוך זמן סביר לאחר שנודע לו על עילת הביטול, ובמקרה של כפיה – תוך זמן סביר לאחר שנודע לו שפסקה הכפיה</w:t>
      </w:r>
      <w:r>
        <w:rPr>
          <w:rFonts w:ascii="David" w:hAnsi="David"/>
          <w:b/>
          <w:bCs/>
          <w:rtl/>
        </w:rPr>
        <w:t>"</w:t>
      </w:r>
    </w:p>
    <w:p w:rsidR="006B503B" w:rsidRPr="006B503B" w:rsidRDefault="006B503B" w:rsidP="00311DDA">
      <w:pPr>
        <w:spacing w:line="360" w:lineRule="auto"/>
        <w:ind w:left="1133" w:right="1134"/>
        <w:jc w:val="both"/>
        <w:rPr>
          <w:rFonts w:ascii="David" w:hAnsi="David"/>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במקרה שלפניי אין מחלוקת כי הנתבעת לא שלחה הודעת ביטול כמתחייב </w:t>
      </w:r>
      <w:r>
        <w:rPr>
          <w:rFonts w:ascii="David" w:hAnsi="David" w:cs="David"/>
          <w:b/>
          <w:bCs/>
          <w:sz w:val="24"/>
          <w:szCs w:val="24"/>
          <w:rtl/>
        </w:rPr>
        <w:t>בס' 20 לחוק החוזים</w:t>
      </w:r>
      <w:r>
        <w:rPr>
          <w:rFonts w:ascii="David" w:hAnsi="David" w:cs="David"/>
          <w:sz w:val="24"/>
          <w:szCs w:val="24"/>
          <w:rtl/>
        </w:rPr>
        <w:t>.</w:t>
      </w:r>
      <w:r>
        <w:rPr>
          <w:rFonts w:ascii="David" w:hAnsi="David" w:cs="David"/>
          <w:spacing w:val="6"/>
          <w:sz w:val="24"/>
          <w:szCs w:val="24"/>
          <w:rtl/>
        </w:rPr>
        <w:t xml:space="preserve"> ככלל ביטול חוזה טעון הודעת ביטול. הודעת הביטול הינה קונסטיטוטיבית, ובהעדר ההודעה אין תוקף לביטול</w:t>
      </w:r>
      <w:r>
        <w:rPr>
          <w:rFonts w:ascii="David" w:hAnsi="David" w:cs="David"/>
          <w:sz w:val="24"/>
          <w:szCs w:val="24"/>
          <w:rtl/>
        </w:rPr>
        <w:t xml:space="preserve"> </w:t>
      </w:r>
      <w:r>
        <w:rPr>
          <w:rFonts w:ascii="David" w:hAnsi="David" w:cs="David"/>
          <w:b/>
          <w:bCs/>
          <w:sz w:val="24"/>
          <w:szCs w:val="24"/>
          <w:rtl/>
        </w:rPr>
        <w:t>השוו</w:t>
      </w:r>
      <w:r>
        <w:rPr>
          <w:rFonts w:ascii="David" w:hAnsi="David" w:cs="David"/>
          <w:sz w:val="24"/>
          <w:szCs w:val="24"/>
          <w:rtl/>
        </w:rPr>
        <w:t>: תמ"ש 43389-01-18</w:t>
      </w:r>
      <w:r>
        <w:rPr>
          <w:rFonts w:ascii="David" w:hAnsi="David" w:cs="David"/>
          <w:b/>
          <w:bCs/>
          <w:sz w:val="24"/>
          <w:szCs w:val="24"/>
          <w:rtl/>
        </w:rPr>
        <w:t xml:space="preserve"> ב.נ. נ' נ. </w:t>
      </w:r>
      <w:r>
        <w:rPr>
          <w:rFonts w:ascii="David" w:hAnsi="David" w:cs="David"/>
          <w:sz w:val="24"/>
          <w:szCs w:val="24"/>
          <w:rtl/>
        </w:rPr>
        <w:t>(16.12.2019).</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הנתבעת טענה כי במסגרת ההתנגדות היא הודיעה על ביטול ההסכם </w:t>
      </w:r>
      <w:r>
        <w:rPr>
          <w:rFonts w:ascii="David" w:hAnsi="David" w:cs="David"/>
          <w:b/>
          <w:bCs/>
          <w:sz w:val="24"/>
          <w:szCs w:val="24"/>
          <w:rtl/>
        </w:rPr>
        <w:t>ראו: ס' 16-17 לכתב הגנה בתביעה בעניין ההסכם</w:t>
      </w:r>
      <w:r>
        <w:rPr>
          <w:rFonts w:ascii="David" w:hAnsi="David" w:cs="David"/>
          <w:sz w:val="24"/>
          <w:szCs w:val="24"/>
          <w:rtl/>
        </w:rPr>
        <w:t xml:space="preserve">. </w:t>
      </w:r>
    </w:p>
    <w:p w:rsidR="00311DDA" w:rsidRDefault="00311DDA" w:rsidP="00311DDA">
      <w:pPr>
        <w:pStyle w:val="a9"/>
        <w:spacing w:line="360" w:lineRule="auto"/>
        <w:jc w:val="both"/>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אכן, קיימת פסיקה, לפיה הגשת תביעה עשויה, במקרים מתאימים, ליתר צורך בהודעת ביטול. עם מקרים אלה נמנית למשל תביעה, אשר מוגשת בעקבות הפרה יסודית של ההסכם </w:t>
      </w:r>
      <w:r>
        <w:rPr>
          <w:rFonts w:ascii="David" w:hAnsi="David" w:cs="David"/>
          <w:b/>
          <w:bCs/>
          <w:sz w:val="24"/>
          <w:szCs w:val="24"/>
          <w:rtl/>
        </w:rPr>
        <w:t>ראו</w:t>
      </w:r>
      <w:r>
        <w:rPr>
          <w:rFonts w:ascii="David" w:hAnsi="David" w:cs="David"/>
          <w:sz w:val="24"/>
          <w:szCs w:val="24"/>
          <w:rtl/>
        </w:rPr>
        <w:t xml:space="preserve">: </w:t>
      </w:r>
      <w:r>
        <w:rPr>
          <w:rFonts w:ascii="David" w:eastAsia="Times New Roman" w:hAnsi="David" w:cs="David"/>
          <w:sz w:val="24"/>
          <w:szCs w:val="24"/>
          <w:rtl/>
        </w:rPr>
        <w:t xml:space="preserve">ע"א 131/89 </w:t>
      </w:r>
      <w:r>
        <w:rPr>
          <w:rFonts w:ascii="David" w:eastAsia="Times New Roman" w:hAnsi="David" w:cs="David"/>
          <w:b/>
          <w:bCs/>
          <w:sz w:val="24"/>
          <w:szCs w:val="24"/>
          <w:rtl/>
        </w:rPr>
        <w:t>דרזון נ' דרזון,</w:t>
      </w:r>
      <w:r>
        <w:rPr>
          <w:rFonts w:ascii="David" w:eastAsia="Times New Roman" w:hAnsi="David" w:cs="David"/>
          <w:sz w:val="24"/>
          <w:szCs w:val="24"/>
          <w:rtl/>
        </w:rPr>
        <w:t xml:space="preserve"> מג(4) 610</w:t>
      </w:r>
      <w:r>
        <w:rPr>
          <w:rFonts w:ascii="David" w:hAnsi="David" w:cs="David"/>
          <w:sz w:val="24"/>
          <w:szCs w:val="24"/>
          <w:rtl/>
        </w:rPr>
        <w:t xml:space="preserve"> (1989).</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במקרה שלפניי הטעם לביטול ההסכם נעוץ בטענת הנתבעת לפגם ברצון בעת כריתת ההסכם. טענה זו – בשונה מטענה בדבר הפרת הסכם ברורה – טעונה, לטעמי, הגשת תביעה נפרדת </w:t>
      </w:r>
      <w:r w:rsidRPr="00871141">
        <w:rPr>
          <w:rFonts w:ascii="David" w:hAnsi="David" w:cs="David"/>
          <w:b/>
          <w:bCs/>
          <w:sz w:val="24"/>
          <w:szCs w:val="24"/>
          <w:rtl/>
        </w:rPr>
        <w:t>השוו</w:t>
      </w:r>
      <w:r w:rsidRPr="00871141">
        <w:rPr>
          <w:rFonts w:ascii="David" w:hAnsi="David" w:cs="David"/>
          <w:sz w:val="24"/>
          <w:szCs w:val="24"/>
          <w:rtl/>
        </w:rPr>
        <w:t xml:space="preserve">: תלה"מ 12129-12-19 </w:t>
      </w:r>
      <w:r w:rsidRPr="00871141">
        <w:rPr>
          <w:rFonts w:ascii="David" w:hAnsi="David" w:cs="David"/>
          <w:b/>
          <w:bCs/>
          <w:sz w:val="24"/>
          <w:szCs w:val="24"/>
          <w:rtl/>
        </w:rPr>
        <w:t>ק. נ' ס.</w:t>
      </w:r>
      <w:r w:rsidRPr="00871141">
        <w:rPr>
          <w:rFonts w:ascii="David" w:hAnsi="David" w:cs="David"/>
          <w:sz w:val="24"/>
          <w:szCs w:val="24"/>
          <w:rtl/>
        </w:rPr>
        <w:t xml:space="preserve"> (9.10.2022); </w:t>
      </w:r>
      <w:r w:rsidRPr="00BD0303">
        <w:rPr>
          <w:rFonts w:ascii="David" w:hAnsi="David" w:cs="David"/>
          <w:sz w:val="24"/>
          <w:szCs w:val="24"/>
          <w:rtl/>
        </w:rPr>
        <w:t>תמ"ש 25442-09-12</w:t>
      </w:r>
      <w:r w:rsidRPr="00871141">
        <w:rPr>
          <w:rFonts w:ascii="David" w:hAnsi="David" w:cs="David"/>
          <w:sz w:val="24"/>
          <w:szCs w:val="24"/>
          <w:rtl/>
        </w:rPr>
        <w:t xml:space="preserve"> </w:t>
      </w:r>
      <w:r w:rsidRPr="00871141">
        <w:rPr>
          <w:rFonts w:ascii="David" w:hAnsi="David" w:cs="David" w:hint="cs"/>
          <w:b/>
          <w:bCs/>
          <w:sz w:val="24"/>
          <w:szCs w:val="24"/>
          <w:rtl/>
        </w:rPr>
        <w:t>פלונית נ' אלמוני</w:t>
      </w:r>
      <w:r w:rsidRPr="00871141">
        <w:rPr>
          <w:rFonts w:ascii="David" w:hAnsi="David" w:cs="David" w:hint="cs"/>
          <w:sz w:val="24"/>
          <w:szCs w:val="24"/>
          <w:rtl/>
        </w:rPr>
        <w:t xml:space="preserve"> </w:t>
      </w:r>
      <w:r>
        <w:rPr>
          <w:rFonts w:ascii="David" w:hAnsi="David" w:cs="David" w:hint="cs"/>
          <w:sz w:val="24"/>
          <w:szCs w:val="24"/>
          <w:rtl/>
        </w:rPr>
        <w:t xml:space="preserve">(24.2.2015) במסגרתה ניתן לבחון את הטענות בדבר פגם ברצון – טענות שלא נבחנות במסגרת הליך ההתנגדות. זאת בדומה לצורך בהגשת תביעה לביטול תצהיר הסתלקות, </w:t>
      </w:r>
      <w:r>
        <w:rPr>
          <w:rFonts w:ascii="David" w:hAnsi="David" w:cs="David" w:hint="cs"/>
          <w:sz w:val="24"/>
          <w:szCs w:val="24"/>
          <w:rtl/>
        </w:rPr>
        <w:lastRenderedPageBreak/>
        <w:t xml:space="preserve">כאמור בס' 66 לעיל, שכן מן הראוי כי כל סעד ידון במסגרת משפטית מתאימה </w:t>
      </w:r>
      <w:r>
        <w:rPr>
          <w:rFonts w:ascii="David" w:hAnsi="David" w:cs="David" w:hint="cs"/>
          <w:b/>
          <w:bCs/>
          <w:sz w:val="24"/>
          <w:szCs w:val="24"/>
          <w:rtl/>
        </w:rPr>
        <w:t>ראו</w:t>
      </w:r>
      <w:r>
        <w:rPr>
          <w:rFonts w:ascii="David" w:hAnsi="David" w:cs="David" w:hint="cs"/>
          <w:sz w:val="24"/>
          <w:szCs w:val="24"/>
          <w:rtl/>
        </w:rPr>
        <w:t xml:space="preserve">: תמ"ש (ת"א) 012500/07 </w:t>
      </w:r>
      <w:r>
        <w:rPr>
          <w:rFonts w:ascii="David" w:hAnsi="David" w:cs="David" w:hint="cs"/>
          <w:b/>
          <w:bCs/>
          <w:sz w:val="24"/>
          <w:szCs w:val="24"/>
          <w:rtl/>
        </w:rPr>
        <w:t>ג.י. נ' ד.א</w:t>
      </w:r>
      <w:r>
        <w:rPr>
          <w:rFonts w:ascii="David" w:hAnsi="David" w:cs="David" w:hint="cs"/>
          <w:sz w:val="24"/>
          <w:szCs w:val="24"/>
          <w:rtl/>
        </w:rPr>
        <w:t xml:space="preserve"> (6.7.2009).</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בתוך כך, לא די בעצם הגשת ההתנגדות – בגדרה אין כל אפשרות לבחון את הטענה בדבר פגם ברצון – כדי לייתר את הצורך במתן הודעת הביטול. </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b/>
          <w:bCs/>
          <w:sz w:val="24"/>
          <w:szCs w:val="24"/>
        </w:rPr>
      </w:pPr>
      <w:r>
        <w:rPr>
          <w:rFonts w:ascii="David" w:hAnsi="David" w:cs="David"/>
          <w:sz w:val="24"/>
          <w:szCs w:val="24"/>
          <w:rtl/>
        </w:rPr>
        <w:t xml:space="preserve">יש לדחות את טענת הנתבעת כי עריכת ההסכם, נוסף על עריכת ההסכם הראשון, מלמדת על חוסר ההבנה של הנתבעת </w:t>
      </w:r>
      <w:r>
        <w:rPr>
          <w:rFonts w:ascii="David" w:hAnsi="David" w:cs="David"/>
          <w:b/>
          <w:bCs/>
          <w:sz w:val="24"/>
          <w:szCs w:val="24"/>
          <w:rtl/>
        </w:rPr>
        <w:t>ראו</w:t>
      </w:r>
      <w:r>
        <w:rPr>
          <w:rFonts w:ascii="David" w:hAnsi="David" w:cs="David"/>
          <w:sz w:val="24"/>
          <w:szCs w:val="24"/>
          <w:rtl/>
        </w:rPr>
        <w:t xml:space="preserve">: </w:t>
      </w:r>
      <w:r>
        <w:rPr>
          <w:rFonts w:ascii="David" w:hAnsi="David" w:cs="David"/>
          <w:b/>
          <w:bCs/>
          <w:sz w:val="24"/>
          <w:szCs w:val="24"/>
          <w:rtl/>
        </w:rPr>
        <w:t>ס' 19 לכתב ההגנה בתביעה להסכם</w:t>
      </w:r>
      <w:r>
        <w:rPr>
          <w:rFonts w:ascii="David" w:hAnsi="David" w:cs="David"/>
          <w:sz w:val="24"/>
          <w:szCs w:val="24"/>
          <w:rtl/>
        </w:rPr>
        <w:t>.</w:t>
      </w:r>
    </w:p>
    <w:p w:rsidR="00D02E64" w:rsidRPr="00D02E64" w:rsidRDefault="00D02E64" w:rsidP="00D02E64">
      <w:pPr>
        <w:pStyle w:val="a9"/>
        <w:rPr>
          <w:rFonts w:ascii="David" w:hAnsi="David" w:cs="David"/>
          <w:b/>
          <w:bCs/>
          <w:sz w:val="24"/>
          <w:szCs w:val="24"/>
          <w:rtl/>
        </w:rPr>
      </w:pPr>
    </w:p>
    <w:p w:rsidR="00311DDA" w:rsidRDefault="00311DDA" w:rsidP="00311DDA">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חתימת הנתבעת על שני ההסכמים מלמדת על גמירות דעת מוגברת של הנתבעת והדבר נכון ביתר שאת מקום בו שני ההסכמים נחתמו בתקופה בה הנתבעת הייתה מיוצגת על-ידי עורכת הדין </w:t>
      </w:r>
      <w:r>
        <w:rPr>
          <w:rFonts w:ascii="David" w:hAnsi="David" w:cs="David"/>
          <w:b/>
          <w:bCs/>
          <w:sz w:val="24"/>
          <w:szCs w:val="24"/>
          <w:rtl/>
        </w:rPr>
        <w:t>ראו: עמ' 336 ו-346 לתיק המוצגים</w:t>
      </w:r>
      <w:r>
        <w:rPr>
          <w:rFonts w:ascii="David" w:hAnsi="David" w:cs="David"/>
          <w:sz w:val="24"/>
          <w:szCs w:val="24"/>
          <w:rtl/>
        </w:rPr>
        <w:t>.</w:t>
      </w:r>
    </w:p>
    <w:p w:rsidR="00311DDA" w:rsidRDefault="00311DDA" w:rsidP="00311DDA">
      <w:pPr>
        <w:pStyle w:val="a9"/>
        <w:spacing w:line="360" w:lineRule="auto"/>
        <w:rPr>
          <w:rFonts w:ascii="David" w:hAnsi="David" w:cs="David"/>
          <w:b/>
          <w:bCs/>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זאת ועוד, קיימת חזקה לפיה חתימת אדם על גבי מסמך כלשהו מהווה למעשה עדות לכך שנתן הסכמתו לתוכן האמור במסמך, לאחר שקרא והבין את מהותו </w:t>
      </w:r>
      <w:r>
        <w:rPr>
          <w:rFonts w:ascii="David" w:hAnsi="David" w:cs="David"/>
          <w:b/>
          <w:bCs/>
          <w:sz w:val="24"/>
          <w:szCs w:val="24"/>
          <w:rtl/>
        </w:rPr>
        <w:t>ראו</w:t>
      </w:r>
      <w:r>
        <w:rPr>
          <w:rFonts w:ascii="David" w:hAnsi="David" w:cs="David"/>
          <w:sz w:val="24"/>
          <w:szCs w:val="24"/>
          <w:rtl/>
        </w:rPr>
        <w:t xml:space="preserve">: ע"א 467/64 </w:t>
      </w:r>
      <w:r>
        <w:rPr>
          <w:rFonts w:ascii="David" w:hAnsi="David" w:cs="David"/>
          <w:b/>
          <w:bCs/>
          <w:sz w:val="24"/>
          <w:szCs w:val="24"/>
          <w:rtl/>
        </w:rPr>
        <w:t>שוויץ נ' סנדור, פ"ד יט</w:t>
      </w:r>
      <w:r>
        <w:rPr>
          <w:rFonts w:ascii="David" w:hAnsi="David" w:cs="David"/>
          <w:sz w:val="24"/>
          <w:szCs w:val="24"/>
          <w:rtl/>
        </w:rPr>
        <w:t xml:space="preserve"> (2) 113 (1965).</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יש לדחות את טענת הנתבעת כי יש לייחס משמעות לכך שההסכם לא צורף לבקשה המתוקנת </w:t>
      </w:r>
      <w:r>
        <w:rPr>
          <w:rFonts w:ascii="David" w:hAnsi="David" w:cs="David"/>
          <w:b/>
          <w:bCs/>
          <w:sz w:val="24"/>
          <w:szCs w:val="24"/>
          <w:rtl/>
        </w:rPr>
        <w:t>ראו:</w:t>
      </w:r>
      <w:r>
        <w:rPr>
          <w:rFonts w:ascii="David" w:hAnsi="David" w:cs="David"/>
          <w:sz w:val="24"/>
          <w:szCs w:val="24"/>
          <w:rtl/>
        </w:rPr>
        <w:t xml:space="preserve"> </w:t>
      </w:r>
      <w:r>
        <w:rPr>
          <w:rFonts w:ascii="David" w:hAnsi="David" w:cs="David"/>
          <w:b/>
          <w:bCs/>
          <w:sz w:val="24"/>
          <w:szCs w:val="24"/>
          <w:rtl/>
        </w:rPr>
        <w:t>ס' 22 לכתב ההגנה בתביעה להסכם</w:t>
      </w:r>
      <w:r>
        <w:rPr>
          <w:rFonts w:ascii="David" w:hAnsi="David" w:cs="David"/>
          <w:sz w:val="24"/>
          <w:szCs w:val="24"/>
          <w:rtl/>
        </w:rPr>
        <w:t xml:space="preserve"> שכן אין לכך כל דרישה בחוק הירושה.</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לאור האמור ולאור העיקרון כי הסכמים יש לכבד ולקיים </w:t>
      </w:r>
      <w:r>
        <w:rPr>
          <w:rFonts w:ascii="David" w:hAnsi="David" w:cs="David"/>
          <w:b/>
          <w:bCs/>
          <w:sz w:val="24"/>
          <w:szCs w:val="24"/>
          <w:rtl/>
        </w:rPr>
        <w:t>ראו</w:t>
      </w:r>
      <w:r>
        <w:rPr>
          <w:rFonts w:ascii="David" w:hAnsi="David" w:cs="David"/>
          <w:sz w:val="24"/>
          <w:szCs w:val="24"/>
          <w:rtl/>
        </w:rPr>
        <w:t xml:space="preserve">: בג"צ 1930/94 </w:t>
      </w:r>
      <w:r>
        <w:rPr>
          <w:rFonts w:ascii="David" w:hAnsi="David" w:cs="David"/>
          <w:b/>
          <w:bCs/>
          <w:sz w:val="24"/>
          <w:szCs w:val="24"/>
          <w:rtl/>
        </w:rPr>
        <w:t>נתן נ' שר הביטחון</w:t>
      </w:r>
      <w:r>
        <w:rPr>
          <w:rFonts w:ascii="David" w:hAnsi="David" w:cs="David"/>
          <w:sz w:val="24"/>
          <w:szCs w:val="24"/>
          <w:rtl/>
        </w:rPr>
        <w:t xml:space="preserve">, פ"ד מח(3) 643 (1994) </w:t>
      </w:r>
      <w:r>
        <w:rPr>
          <w:rFonts w:ascii="David" w:hAnsi="David" w:cs="David"/>
          <w:b/>
          <w:bCs/>
          <w:sz w:val="24"/>
          <w:szCs w:val="24"/>
          <w:rtl/>
        </w:rPr>
        <w:t>ראו</w:t>
      </w:r>
      <w:r>
        <w:rPr>
          <w:rFonts w:ascii="David" w:hAnsi="David" w:cs="David"/>
          <w:sz w:val="24"/>
          <w:szCs w:val="24"/>
          <w:rtl/>
        </w:rPr>
        <w:t xml:space="preserve"> </w:t>
      </w:r>
      <w:r>
        <w:rPr>
          <w:rFonts w:ascii="David" w:hAnsi="David" w:cs="David"/>
          <w:b/>
          <w:bCs/>
          <w:sz w:val="24"/>
          <w:szCs w:val="24"/>
          <w:rtl/>
        </w:rPr>
        <w:t>גם</w:t>
      </w:r>
      <w:r>
        <w:rPr>
          <w:rFonts w:ascii="David" w:hAnsi="David" w:cs="David"/>
          <w:sz w:val="24"/>
          <w:szCs w:val="24"/>
          <w:rtl/>
        </w:rPr>
        <w:t xml:space="preserve">: רמ"ש 33176-05-23 </w:t>
      </w:r>
      <w:r>
        <w:rPr>
          <w:rFonts w:ascii="David" w:hAnsi="David" w:cs="David"/>
          <w:b/>
          <w:bCs/>
          <w:sz w:val="24"/>
          <w:szCs w:val="24"/>
          <w:rtl/>
        </w:rPr>
        <w:t xml:space="preserve">מ' נ' מ' </w:t>
      </w:r>
      <w:r>
        <w:rPr>
          <w:rFonts w:ascii="David" w:hAnsi="David" w:cs="David"/>
          <w:sz w:val="24"/>
          <w:szCs w:val="24"/>
          <w:rtl/>
        </w:rPr>
        <w:t xml:space="preserve">(17.7.2023) אני קובע כי ההסכם הינו הסכם תקף ומקבל את התביעה. </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התוצאה היא כי שתי התביעות מתקבלות.</w:t>
      </w:r>
    </w:p>
    <w:p w:rsidR="00311DDA" w:rsidRDefault="00311DDA" w:rsidP="00311DDA">
      <w:pPr>
        <w:pStyle w:val="a9"/>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התובע יגיש לחתימתי צו ירושה בתוך 10 ימים. נוסח הצו יתואם עם ב"כ היועמ"ש ועובדה זו תצוין בבקשה הנלווית לצו.</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לאור התוצאה, היה מקום לחייב את הנתבעת בהוצאות משפט.</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יחד עם זאת, לאור הסכמת הצדדים באשר לדרך בה יתבררו שני ההליכים, כאשר דרך זו חסכה קיום דיונים וכפועל יוצא הביאה גם לחיסכון במשאבי הצדדים, איני עושה צו להוצאות.</w:t>
      </w:r>
    </w:p>
    <w:p w:rsidR="00311DDA" w:rsidRDefault="00311DDA" w:rsidP="00311DDA">
      <w:pPr>
        <w:pStyle w:val="a9"/>
        <w:spacing w:line="360" w:lineRule="auto"/>
        <w:rPr>
          <w:rFonts w:ascii="David" w:hAnsi="David" w:cs="David"/>
          <w:sz w:val="24"/>
          <w:szCs w:val="24"/>
        </w:rPr>
      </w:pPr>
    </w:p>
    <w:p w:rsidR="00311DDA" w:rsidRDefault="00311DDA" w:rsidP="00311DDA">
      <w:pPr>
        <w:pStyle w:val="a9"/>
        <w:numPr>
          <w:ilvl w:val="0"/>
          <w:numId w:val="1"/>
        </w:numPr>
        <w:spacing w:line="360" w:lineRule="auto"/>
        <w:jc w:val="both"/>
        <w:rPr>
          <w:rFonts w:ascii="David" w:hAnsi="David" w:cs="David"/>
          <w:sz w:val="24"/>
          <w:szCs w:val="24"/>
          <w:rtl/>
        </w:rPr>
      </w:pPr>
      <w:r>
        <w:rPr>
          <w:rFonts w:ascii="David" w:hAnsi="David" w:cs="David"/>
          <w:sz w:val="24"/>
          <w:szCs w:val="24"/>
          <w:rtl/>
        </w:rPr>
        <w:t>זכות ערעור כדין.</w:t>
      </w:r>
    </w:p>
    <w:p w:rsidR="00311DDA" w:rsidRDefault="00311DDA" w:rsidP="00311DDA">
      <w:pPr>
        <w:pStyle w:val="a9"/>
        <w:spacing w:line="360" w:lineRule="auto"/>
        <w:rPr>
          <w:rFonts w:ascii="David" w:hAnsi="David" w:cs="David"/>
          <w:sz w:val="24"/>
          <w:szCs w:val="24"/>
        </w:rPr>
      </w:pPr>
    </w:p>
    <w:p w:rsidR="00311DDA" w:rsidRDefault="00311DDA" w:rsidP="00844795">
      <w:pPr>
        <w:pStyle w:val="a9"/>
        <w:numPr>
          <w:ilvl w:val="0"/>
          <w:numId w:val="1"/>
        </w:numPr>
        <w:spacing w:line="360" w:lineRule="auto"/>
        <w:jc w:val="both"/>
        <w:rPr>
          <w:rFonts w:ascii="David" w:hAnsi="David" w:cs="David"/>
          <w:sz w:val="24"/>
          <w:szCs w:val="24"/>
        </w:rPr>
      </w:pPr>
      <w:r>
        <w:rPr>
          <w:rFonts w:ascii="David" w:hAnsi="David" w:cs="David"/>
          <w:b/>
          <w:bCs/>
          <w:sz w:val="24"/>
          <w:szCs w:val="24"/>
          <w:rtl/>
        </w:rPr>
        <w:t>המזכירות תסגור את שני ההליכים</w:t>
      </w:r>
      <w:r>
        <w:rPr>
          <w:rFonts w:ascii="David" w:hAnsi="David" w:cs="David"/>
          <w:sz w:val="24"/>
          <w:szCs w:val="24"/>
          <w:rtl/>
        </w:rPr>
        <w:t>.</w:t>
      </w:r>
    </w:p>
    <w:p w:rsidR="00844795" w:rsidRPr="00844795" w:rsidRDefault="00844795" w:rsidP="00844795">
      <w:pPr>
        <w:pStyle w:val="a9"/>
        <w:rPr>
          <w:rFonts w:ascii="David" w:hAnsi="David" w:cs="David"/>
          <w:sz w:val="24"/>
          <w:szCs w:val="24"/>
          <w:rtl/>
        </w:rPr>
      </w:pPr>
    </w:p>
    <w:p w:rsidR="00844795" w:rsidRPr="00844795" w:rsidRDefault="00844795" w:rsidP="00844795">
      <w:pPr>
        <w:pStyle w:val="a9"/>
        <w:numPr>
          <w:ilvl w:val="0"/>
          <w:numId w:val="1"/>
        </w:numPr>
        <w:spacing w:line="360" w:lineRule="auto"/>
        <w:jc w:val="both"/>
        <w:rPr>
          <w:rFonts w:ascii="David" w:hAnsi="David" w:cs="David"/>
          <w:sz w:val="24"/>
          <w:szCs w:val="24"/>
          <w:rtl/>
        </w:rPr>
      </w:pPr>
      <w:r>
        <w:rPr>
          <w:rFonts w:ascii="David" w:hAnsi="David" w:cs="David" w:hint="cs"/>
          <w:sz w:val="24"/>
          <w:szCs w:val="24"/>
          <w:rtl/>
        </w:rPr>
        <w:t>אני מתיר את פרסום פסק הדין לאחר השמטת פרטים מזהים.</w:t>
      </w:r>
    </w:p>
    <w:p w:rsidR="005D595B" w:rsidRDefault="005D595B" w:rsidP="00311DDA">
      <w:pPr>
        <w:spacing w:line="360" w:lineRule="auto"/>
        <w:jc w:val="both"/>
        <w:rPr>
          <w:rFonts w:ascii="Arial" w:hAnsi="Arial"/>
          <w:noProof w:val="0"/>
          <w:rtl/>
        </w:rPr>
      </w:pPr>
    </w:p>
    <w:p w:rsidR="00311DDA" w:rsidRDefault="00311DDA" w:rsidP="00311DD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ט' חשוון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24 אוקטובר 2023</w:t>
          </w:r>
        </w:sdtContent>
      </w:sdt>
      <w:r>
        <w:rPr>
          <w:rFonts w:ascii="Arial" w:hAnsi="Arial"/>
          <w:noProof w:val="0"/>
          <w:rtl/>
        </w:rPr>
        <w:t>, בהעדר הצדדים.</w:t>
      </w:r>
    </w:p>
    <w:p w:rsidR="00515BB6" w:rsidRDefault="00311DDA" w:rsidP="00844795">
      <w:pPr>
        <w:spacing w:line="360" w:lineRule="auto"/>
        <w:jc w:val="center"/>
      </w:pPr>
      <w:r>
        <w:rPr>
          <w:rtl/>
        </w:rPr>
        <w:tab/>
      </w:r>
      <w:r>
        <w:rPr>
          <w:rtl/>
        </w:rPr>
        <w:tab/>
      </w:r>
      <w:sdt>
        <w:sdtPr>
          <w:rPr>
            <w:rtl/>
          </w:rPr>
          <w:alias w:val="MergeField"/>
          <w:tag w:val="1237"/>
          <w:id w:val="-1618279990"/>
        </w:sdtPr>
        <w:sdtEndPr/>
        <w:sdtContent>
          <w:r>
            <w:drawing>
              <wp:inline distT="0" distB="0" distL="0" distR="0" wp14:anchorId="6BD2B0AE" wp14:editId="0CD1048A">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28800" cy="733425"/>
                        </a:xfrm>
                        <a:prstGeom prst="rect">
                          <a:avLst/>
                        </a:prstGeom>
                      </pic:spPr>
                    </pic:pic>
                  </a:graphicData>
                </a:graphic>
              </wp:inline>
            </w:drawing>
          </w:r>
        </w:sdtContent>
      </w:sdt>
    </w:p>
    <w:sectPr w:rsidR="00515BB6" w:rsidSect="006C2E7F">
      <w:headerReference w:type="even" r:id="rId9"/>
      <w:headerReference w:type="default" r:id="rId10"/>
      <w:footerReference w:type="even" r:id="rId11"/>
      <w:footerReference w:type="default" r:id="rId12"/>
      <w:headerReference w:type="first" r:id="rId13"/>
      <w:footerReference w:type="first" r:id="rId14"/>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914" w:rsidRDefault="008F2914" w:rsidP="00BD0303">
      <w:r>
        <w:separator/>
      </w:r>
    </w:p>
  </w:endnote>
  <w:endnote w:type="continuationSeparator" w:id="0">
    <w:p w:rsidR="008F2914" w:rsidRDefault="008F2914" w:rsidP="00BD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F83" w:rsidRDefault="00A83F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02E64">
    <w:pPr>
      <w:pStyle w:val="a5"/>
      <w:jc w:val="center"/>
      <w:rPr>
        <w:rStyle w:val="a8"/>
      </w:rPr>
    </w:pPr>
    <w:r>
      <w:rPr>
        <w:rStyle w:val="a8"/>
      </w:rPr>
      <w:fldChar w:fldCharType="begin"/>
    </w:r>
    <w:r>
      <w:rPr>
        <w:rStyle w:val="a8"/>
      </w:rPr>
      <w:instrText xml:space="preserve"> PAGE </w:instrText>
    </w:r>
    <w:r>
      <w:rPr>
        <w:rStyle w:val="a8"/>
      </w:rPr>
      <w:fldChar w:fldCharType="separate"/>
    </w:r>
    <w:r w:rsidR="00007DFF">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007DFF">
      <w:rPr>
        <w:rStyle w:val="a8"/>
        <w:rtl/>
      </w:rPr>
      <w:t>21</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F83" w:rsidRDefault="00A83F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914" w:rsidRDefault="008F2914" w:rsidP="00BD0303">
      <w:r>
        <w:separator/>
      </w:r>
    </w:p>
  </w:footnote>
  <w:footnote w:type="continuationSeparator" w:id="0">
    <w:p w:rsidR="008F2914" w:rsidRDefault="008F2914" w:rsidP="00BD0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F83" w:rsidRDefault="00A83F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D02E64">
    <w:pPr>
      <w:pStyle w:val="a3"/>
      <w:jc w:val="center"/>
      <w:rPr>
        <w:rFonts w:cs="FrankRuehl"/>
        <w:noProof w:val="0"/>
        <w:sz w:val="28"/>
        <w:szCs w:val="28"/>
        <w:rtl/>
      </w:rPr>
    </w:pPr>
    <w:r>
      <w:rPr>
        <w:rFonts w:cs="FrankRuehl"/>
        <w:sz w:val="28"/>
        <w:szCs w:val="28"/>
      </w:rPr>
      <w:drawing>
        <wp:inline distT="0" distB="0" distL="0" distR="0" wp14:anchorId="7E1E0AEC" wp14:editId="6196072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D02E64">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8F2914">
          <w:pPr>
            <w:rPr>
              <w:b/>
              <w:bCs/>
              <w:noProof w:val="0"/>
              <w:sz w:val="26"/>
              <w:szCs w:val="26"/>
              <w:rtl/>
            </w:rPr>
          </w:pPr>
        </w:p>
      </w:tc>
      <w:sdt>
        <w:sdtPr>
          <w:rPr>
            <w:rtl/>
          </w:rPr>
          <w:alias w:val="1456"/>
          <w:tag w:val="1456"/>
          <w:id w:val="952063389"/>
          <w:text/>
        </w:sdtPr>
        <w:sdtEndPr/>
        <w:sdtContent>
          <w:tc>
            <w:tcPr>
              <w:tcW w:w="3674" w:type="dxa"/>
            </w:tcPr>
            <w:p w:rsidR="002914D6" w:rsidRDefault="00D02E64">
              <w:pPr>
                <w:pStyle w:val="a3"/>
                <w:jc w:val="right"/>
                <w:rPr>
                  <w:b/>
                  <w:bCs/>
                  <w:noProof w:val="0"/>
                  <w:sz w:val="26"/>
                  <w:szCs w:val="26"/>
                  <w:rtl/>
                </w:rPr>
              </w:pPr>
              <w:r>
                <w:rPr>
                  <w:b/>
                  <w:bCs/>
                  <w:noProof w:val="0"/>
                  <w:sz w:val="26"/>
                  <w:szCs w:val="26"/>
                  <w:rtl/>
                </w:rPr>
                <w:t>24 אוקטובר 2023</w:t>
              </w:r>
            </w:p>
          </w:tc>
        </w:sdtContent>
      </w:sdt>
    </w:tr>
    <w:tr w:rsidR="002914D6">
      <w:trPr>
        <w:trHeight w:val="337"/>
        <w:jc w:val="center"/>
      </w:trPr>
      <w:tc>
        <w:tcPr>
          <w:tcW w:w="8721" w:type="dxa"/>
          <w:gridSpan w:val="2"/>
        </w:tcPr>
        <w:p w:rsidR="002914D6" w:rsidRDefault="008F2914" w:rsidP="00BD0303">
          <w:pPr>
            <w:rPr>
              <w:b/>
              <w:bCs/>
              <w:noProof w:val="0"/>
              <w:sz w:val="26"/>
              <w:szCs w:val="26"/>
              <w:rtl/>
            </w:rPr>
          </w:pPr>
          <w:sdt>
            <w:sdtPr>
              <w:rPr>
                <w:rtl/>
              </w:rPr>
              <w:alias w:val="1170"/>
              <w:tag w:val="1170"/>
              <w:id w:val="-1240940633"/>
              <w:text w:multiLine="1"/>
            </w:sdtPr>
            <w:sdtEndPr/>
            <w:sdtContent>
              <w:r w:rsidR="00D02E64">
                <w:rPr>
                  <w:b/>
                  <w:bCs/>
                  <w:noProof w:val="0"/>
                  <w:sz w:val="26"/>
                  <w:szCs w:val="26"/>
                  <w:rtl/>
                </w:rPr>
                <w:t>תה"ס</w:t>
              </w:r>
            </w:sdtContent>
          </w:sdt>
          <w:r w:rsidR="00D02E64">
            <w:rPr>
              <w:b/>
              <w:bCs/>
              <w:noProof w:val="0"/>
              <w:sz w:val="26"/>
              <w:szCs w:val="26"/>
              <w:rtl/>
            </w:rPr>
            <w:t xml:space="preserve"> </w:t>
          </w:r>
          <w:sdt>
            <w:sdtPr>
              <w:rPr>
                <w:rtl/>
              </w:rPr>
              <w:alias w:val="1171"/>
              <w:tag w:val="1171"/>
              <w:id w:val="-1122917173"/>
              <w:text w:multiLine="1"/>
            </w:sdtPr>
            <w:sdtEndPr/>
            <w:sdtContent>
              <w:r w:rsidR="00D02E64">
                <w:rPr>
                  <w:b/>
                  <w:bCs/>
                  <w:noProof w:val="0"/>
                  <w:sz w:val="26"/>
                  <w:szCs w:val="26"/>
                  <w:rtl/>
                </w:rPr>
                <w:t>3833-06-22</w:t>
              </w:r>
            </w:sdtContent>
          </w:sdt>
          <w:r w:rsidR="00D02E64">
            <w:rPr>
              <w:b/>
              <w:bCs/>
              <w:noProof w:val="0"/>
              <w:sz w:val="26"/>
              <w:szCs w:val="26"/>
              <w:rtl/>
            </w:rPr>
            <w:t xml:space="preserve"> </w:t>
          </w:r>
          <w:sdt>
            <w:sdtPr>
              <w:rPr>
                <w:rtl/>
              </w:rPr>
              <w:alias w:val="1172"/>
              <w:tag w:val="1172"/>
              <w:id w:val="1658414112"/>
              <w:text w:multiLine="1"/>
            </w:sdtPr>
            <w:sdtEndPr/>
            <w:sdtContent>
              <w:r w:rsidR="00BD0303">
                <w:rPr>
                  <w:rFonts w:hint="cs"/>
                  <w:b/>
                  <w:bCs/>
                  <w:noProof w:val="0"/>
                  <w:sz w:val="26"/>
                  <w:szCs w:val="26"/>
                  <w:rtl/>
                </w:rPr>
                <w:t>פלוני</w:t>
              </w:r>
              <w:r w:rsidR="00D02E64">
                <w:rPr>
                  <w:b/>
                  <w:bCs/>
                  <w:noProof w:val="0"/>
                  <w:sz w:val="26"/>
                  <w:szCs w:val="26"/>
                  <w:rtl/>
                </w:rPr>
                <w:t xml:space="preserve"> נ' </w:t>
              </w:r>
              <w:r w:rsidR="00BD0303">
                <w:rPr>
                  <w:rFonts w:hint="cs"/>
                  <w:b/>
                  <w:bCs/>
                  <w:noProof w:val="0"/>
                  <w:sz w:val="26"/>
                  <w:szCs w:val="26"/>
                  <w:rtl/>
                </w:rPr>
                <w:t>פלונית</w:t>
              </w:r>
              <w:r w:rsidR="00D02E64">
                <w:rPr>
                  <w:b/>
                  <w:bCs/>
                  <w:noProof w:val="0"/>
                  <w:sz w:val="26"/>
                  <w:szCs w:val="26"/>
                  <w:rtl/>
                </w:rPr>
                <w:t xml:space="preserve"> ואח'</w:t>
              </w:r>
            </w:sdtContent>
          </w:sdt>
        </w:p>
        <w:p w:rsidR="002914D6" w:rsidRPr="00871141" w:rsidRDefault="00D02E64" w:rsidP="00BD0303">
          <w:pPr>
            <w:rPr>
              <w:b/>
              <w:bCs/>
              <w:sz w:val="26"/>
              <w:szCs w:val="26"/>
              <w:rtl/>
            </w:rPr>
          </w:pPr>
          <w:r w:rsidRPr="00871141">
            <w:rPr>
              <w:rFonts w:hint="cs"/>
              <w:b/>
              <w:bCs/>
              <w:sz w:val="26"/>
              <w:szCs w:val="26"/>
              <w:rtl/>
            </w:rPr>
            <w:t xml:space="preserve">ת"ע 10231-02-22 </w:t>
          </w:r>
          <w:r w:rsidR="00BD0303">
            <w:rPr>
              <w:rFonts w:hint="cs"/>
              <w:b/>
              <w:bCs/>
              <w:sz w:val="26"/>
              <w:szCs w:val="26"/>
              <w:rtl/>
            </w:rPr>
            <w:t>פלוני</w:t>
          </w:r>
          <w:r w:rsidRPr="00871141">
            <w:rPr>
              <w:rFonts w:hint="cs"/>
              <w:b/>
              <w:bCs/>
              <w:sz w:val="26"/>
              <w:szCs w:val="26"/>
              <w:rtl/>
            </w:rPr>
            <w:t xml:space="preserve"> נ' </w:t>
          </w:r>
          <w:r w:rsidR="00BD0303">
            <w:rPr>
              <w:rFonts w:hint="cs"/>
              <w:b/>
              <w:bCs/>
              <w:sz w:val="26"/>
              <w:szCs w:val="26"/>
              <w:rtl/>
            </w:rPr>
            <w:t>פלונית</w:t>
          </w:r>
          <w:r w:rsidRPr="00871141">
            <w:rPr>
              <w:rFonts w:hint="cs"/>
              <w:b/>
              <w:bCs/>
              <w:sz w:val="26"/>
              <w:szCs w:val="26"/>
              <w:rtl/>
            </w:rPr>
            <w:t xml:space="preserve"> ואח'</w:t>
          </w:r>
        </w:p>
        <w:p w:rsidR="00E8586E" w:rsidRDefault="008F2914">
          <w:pPr>
            <w:rPr>
              <w:rtl/>
            </w:rPr>
          </w:pPr>
        </w:p>
      </w:tc>
    </w:tr>
  </w:tbl>
  <w:p w:rsidR="002914D6" w:rsidRDefault="00D02E64">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F83" w:rsidRDefault="00A83F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C805AA"/>
    <w:multiLevelType w:val="hybridMultilevel"/>
    <w:tmpl w:val="1F9A9A0E"/>
    <w:lvl w:ilvl="0" w:tplc="98683CEE">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44F7BCA"/>
    <w:multiLevelType w:val="hybridMultilevel"/>
    <w:tmpl w:val="5096DC5C"/>
    <w:lvl w:ilvl="0" w:tplc="643A5E7A">
      <w:start w:val="1"/>
      <w:numFmt w:val="hebrew1"/>
      <w:lvlText w:val="%1."/>
      <w:lvlJc w:val="left"/>
      <w:pPr>
        <w:ind w:left="1080" w:hanging="360"/>
      </w:pPr>
      <w:rPr>
        <w:b/>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DDA"/>
    <w:rsid w:val="00007DFF"/>
    <w:rsid w:val="00014FB3"/>
    <w:rsid w:val="000664ED"/>
    <w:rsid w:val="000F7CEC"/>
    <w:rsid w:val="001469BD"/>
    <w:rsid w:val="0015451A"/>
    <w:rsid w:val="00165CC6"/>
    <w:rsid w:val="002B48A5"/>
    <w:rsid w:val="00311DDA"/>
    <w:rsid w:val="003403EE"/>
    <w:rsid w:val="00375F14"/>
    <w:rsid w:val="00385142"/>
    <w:rsid w:val="00423BBF"/>
    <w:rsid w:val="004A2DD2"/>
    <w:rsid w:val="00515BB6"/>
    <w:rsid w:val="005743C3"/>
    <w:rsid w:val="005D595B"/>
    <w:rsid w:val="0063695D"/>
    <w:rsid w:val="006B503B"/>
    <w:rsid w:val="006C0A63"/>
    <w:rsid w:val="006F0873"/>
    <w:rsid w:val="00767BD8"/>
    <w:rsid w:val="008000F0"/>
    <w:rsid w:val="00844795"/>
    <w:rsid w:val="00895BA6"/>
    <w:rsid w:val="008A73B8"/>
    <w:rsid w:val="008B0B9F"/>
    <w:rsid w:val="008F2914"/>
    <w:rsid w:val="009003CA"/>
    <w:rsid w:val="009E1DC3"/>
    <w:rsid w:val="009F244E"/>
    <w:rsid w:val="00A6713F"/>
    <w:rsid w:val="00A83F83"/>
    <w:rsid w:val="00A9002F"/>
    <w:rsid w:val="00AB4D09"/>
    <w:rsid w:val="00BD0303"/>
    <w:rsid w:val="00C86DFB"/>
    <w:rsid w:val="00D02E64"/>
    <w:rsid w:val="00DA5D2A"/>
    <w:rsid w:val="00DF4B4E"/>
    <w:rsid w:val="00E52A71"/>
    <w:rsid w:val="00EE37DD"/>
    <w:rsid w:val="00F86B8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E8840D-242E-466C-BAE1-510C99777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1DD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11DDA"/>
    <w:pPr>
      <w:tabs>
        <w:tab w:val="center" w:pos="4153"/>
        <w:tab w:val="right" w:pos="8306"/>
      </w:tabs>
    </w:pPr>
  </w:style>
  <w:style w:type="character" w:customStyle="1" w:styleId="a4">
    <w:name w:val="כותרת עליונה תו"/>
    <w:basedOn w:val="a0"/>
    <w:link w:val="a3"/>
    <w:rsid w:val="00311DDA"/>
    <w:rPr>
      <w:rFonts w:ascii="Times New Roman" w:eastAsia="Times New Roman" w:hAnsi="Times New Roman" w:cs="David"/>
      <w:noProof/>
      <w:sz w:val="24"/>
      <w:szCs w:val="24"/>
    </w:rPr>
  </w:style>
  <w:style w:type="paragraph" w:styleId="a5">
    <w:name w:val="footer"/>
    <w:basedOn w:val="a"/>
    <w:link w:val="a6"/>
    <w:rsid w:val="00311DDA"/>
    <w:pPr>
      <w:tabs>
        <w:tab w:val="center" w:pos="4153"/>
        <w:tab w:val="right" w:pos="8306"/>
      </w:tabs>
    </w:pPr>
  </w:style>
  <w:style w:type="character" w:customStyle="1" w:styleId="a6">
    <w:name w:val="כותרת תחתונה תו"/>
    <w:basedOn w:val="a0"/>
    <w:link w:val="a5"/>
    <w:rsid w:val="00311DDA"/>
    <w:rPr>
      <w:rFonts w:ascii="Times New Roman" w:eastAsia="Times New Roman" w:hAnsi="Times New Roman" w:cs="David"/>
      <w:noProof/>
      <w:sz w:val="24"/>
      <w:szCs w:val="24"/>
    </w:rPr>
  </w:style>
  <w:style w:type="table" w:styleId="a7">
    <w:name w:val="Table Grid"/>
    <w:basedOn w:val="a1"/>
    <w:rsid w:val="00311DD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311DDA"/>
  </w:style>
  <w:style w:type="character" w:styleId="Hyperlink">
    <w:name w:val="Hyperlink"/>
    <w:semiHidden/>
    <w:unhideWhenUsed/>
    <w:rsid w:val="00311DDA"/>
    <w:rPr>
      <w:color w:val="0000FF"/>
      <w:u w:val="single"/>
    </w:rPr>
  </w:style>
  <w:style w:type="paragraph" w:styleId="a9">
    <w:name w:val="List Paragraph"/>
    <w:basedOn w:val="a"/>
    <w:uiPriority w:val="34"/>
    <w:qFormat/>
    <w:rsid w:val="00311DDA"/>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
    <w:name w:val="פיסקת רשימה1"/>
    <w:basedOn w:val="a"/>
    <w:qFormat/>
    <w:rsid w:val="00311DDA"/>
    <w:pPr>
      <w:ind w:left="720"/>
      <w:contextualSpacing/>
    </w:pPr>
  </w:style>
  <w:style w:type="character" w:styleId="aa">
    <w:name w:val="line number"/>
    <w:basedOn w:val="a0"/>
    <w:uiPriority w:val="99"/>
    <w:semiHidden/>
    <w:unhideWhenUsed/>
    <w:rsid w:val="00311DDA"/>
  </w:style>
  <w:style w:type="paragraph" w:styleId="ab">
    <w:name w:val="Balloon Text"/>
    <w:basedOn w:val="a"/>
    <w:link w:val="ac"/>
    <w:uiPriority w:val="99"/>
    <w:semiHidden/>
    <w:unhideWhenUsed/>
    <w:rsid w:val="008A73B8"/>
    <w:rPr>
      <w:rFonts w:ascii="Tahoma" w:hAnsi="Tahoma" w:cs="Tahoma"/>
      <w:sz w:val="18"/>
      <w:szCs w:val="18"/>
    </w:rPr>
  </w:style>
  <w:style w:type="character" w:customStyle="1" w:styleId="ac">
    <w:name w:val="טקסט בלונים תו"/>
    <w:basedOn w:val="a0"/>
    <w:link w:val="ab"/>
    <w:uiPriority w:val="99"/>
    <w:semiHidden/>
    <w:rsid w:val="008A73B8"/>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4462-628B-4D06-8073-35C7322CC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5331</Words>
  <Characters>26656</Characters>
  <Application>Microsoft Office Word</Application>
  <DocSecurity>0</DocSecurity>
  <Lines>222</Lines>
  <Paragraphs>63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אסתר טטרואשילי</cp:lastModifiedBy>
  <cp:revision>2</cp:revision>
  <cp:lastPrinted>2023-11-05T10:23:00Z</cp:lastPrinted>
  <dcterms:created xsi:type="dcterms:W3CDTF">2023-11-08T09:05:00Z</dcterms:created>
  <dcterms:modified xsi:type="dcterms:W3CDTF">2023-11-08T09:05:00Z</dcterms:modified>
</cp:coreProperties>
</file>